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22E7" w14:textId="6AE7F067" w:rsidR="00720A5C" w:rsidRDefault="00D31679" w:rsidP="009F58B3">
      <w:pPr>
        <w:jc w:val="both"/>
        <w:rPr>
          <w:b/>
          <w:bCs/>
          <w:color w:val="FF0000"/>
          <w:u w:val="single"/>
        </w:rPr>
      </w:pPr>
      <w:r w:rsidRPr="005435D9">
        <w:drawing>
          <wp:anchor distT="0" distB="0" distL="114300" distR="114300" simplePos="0" relativeHeight="251664384" behindDoc="0" locked="0" layoutInCell="1" allowOverlap="1" wp14:anchorId="6C697060" wp14:editId="0B93A94C">
            <wp:simplePos x="0" y="0"/>
            <wp:positionH relativeFrom="margin">
              <wp:align>center</wp:align>
            </wp:positionH>
            <wp:positionV relativeFrom="paragraph">
              <wp:posOffset>322484</wp:posOffset>
            </wp:positionV>
            <wp:extent cx="556835" cy="2388891"/>
            <wp:effectExtent l="0" t="0" r="0" b="0"/>
            <wp:wrapNone/>
            <wp:docPr id="1034853712" name="Picture 1" descr="A purple square with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53712" name="Picture 1" descr="A purple square with white dot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35" cy="2388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B20" w:rsidRPr="00197BB7">
        <w:rPr>
          <w:b/>
          <w:bCs/>
          <w:color w:val="FF0000"/>
          <w:u w:val="single"/>
        </w:rPr>
        <w:t xml:space="preserve">Adequate Minimum Wage Directive </w:t>
      </w:r>
      <w:r w:rsidR="00197BB7" w:rsidRPr="00197BB7">
        <w:rPr>
          <w:b/>
          <w:bCs/>
          <w:color w:val="FF0000"/>
          <w:u w:val="single"/>
        </w:rPr>
        <w:t>Monitoring Tool</w:t>
      </w:r>
      <w:r w:rsidR="00923B20" w:rsidRPr="00197BB7">
        <w:rPr>
          <w:b/>
          <w:bCs/>
          <w:color w:val="FF0000"/>
          <w:u w:val="single"/>
        </w:rPr>
        <w:t xml:space="preserve"> - Country</w:t>
      </w:r>
      <w:r w:rsidR="00A13314" w:rsidRPr="00197BB7">
        <w:rPr>
          <w:b/>
          <w:bCs/>
          <w:color w:val="FF0000"/>
          <w:u w:val="single"/>
        </w:rPr>
        <w:t xml:space="preserve"> scoring</w:t>
      </w:r>
      <w:r w:rsidR="00197BB7" w:rsidRPr="00197BB7">
        <w:rPr>
          <w:b/>
          <w:bCs/>
          <w:color w:val="FF0000"/>
          <w:u w:val="single"/>
        </w:rPr>
        <w:t>/col</w:t>
      </w:r>
      <w:r w:rsidR="00BE5AF1">
        <w:rPr>
          <w:b/>
          <w:bCs/>
          <w:color w:val="FF0000"/>
          <w:u w:val="single"/>
        </w:rPr>
        <w:t>o</w:t>
      </w:r>
      <w:r w:rsidR="00197BB7" w:rsidRPr="00197BB7">
        <w:rPr>
          <w:b/>
          <w:bCs/>
          <w:color w:val="FF0000"/>
          <w:u w:val="single"/>
        </w:rPr>
        <w:t>urs</w:t>
      </w:r>
      <w:r w:rsidR="00A13314" w:rsidRPr="00197BB7">
        <w:rPr>
          <w:b/>
          <w:bCs/>
          <w:color w:val="FF0000"/>
          <w:u w:val="single"/>
        </w:rPr>
        <w:t xml:space="preserve"> </w:t>
      </w:r>
      <w:r w:rsidR="00923B20" w:rsidRPr="00197BB7">
        <w:rPr>
          <w:b/>
          <w:bCs/>
          <w:color w:val="FF0000"/>
          <w:u w:val="single"/>
        </w:rPr>
        <w:t>methodology</w:t>
      </w:r>
    </w:p>
    <w:p w14:paraId="142B805A" w14:textId="6352055D" w:rsidR="00AA3F47" w:rsidRPr="00775DEB" w:rsidRDefault="002D4BB5" w:rsidP="00775DEB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7747AC" wp14:editId="4649E8F3">
                <wp:simplePos x="0" y="0"/>
                <wp:positionH relativeFrom="margin">
                  <wp:posOffset>564779</wp:posOffset>
                </wp:positionH>
                <wp:positionV relativeFrom="paragraph">
                  <wp:posOffset>1026795</wp:posOffset>
                </wp:positionV>
                <wp:extent cx="1707515" cy="465455"/>
                <wp:effectExtent l="0" t="0" r="6985" b="0"/>
                <wp:wrapNone/>
                <wp:docPr id="18251894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3F4D" w14:textId="4C3F3D9F" w:rsidR="00C57502" w:rsidRPr="00F302A6" w:rsidRDefault="00F302A6" w:rsidP="00C57502">
                            <w:pPr>
                              <w:rPr>
                                <w:sz w:val="22"/>
                                <w:szCs w:val="22"/>
                                <w:lang w:val="en-BE"/>
                              </w:rPr>
                            </w:pPr>
                            <w:r w:rsidRPr="00F302A6">
                              <w:rPr>
                                <w:sz w:val="22"/>
                                <w:szCs w:val="22"/>
                                <w:lang w:val="en-BE"/>
                              </w:rPr>
                              <w:t>C</w:t>
                            </w:r>
                            <w:r w:rsidR="007E4CF1" w:rsidRPr="00F302A6">
                              <w:rPr>
                                <w:sz w:val="22"/>
                                <w:szCs w:val="22"/>
                                <w:lang w:val="en-BE"/>
                              </w:rPr>
                              <w:t xml:space="preserve">ountries </w:t>
                            </w:r>
                            <w:r w:rsidR="007E4CF1" w:rsidRPr="00F302A6">
                              <w:rPr>
                                <w:b/>
                                <w:bCs/>
                                <w:sz w:val="22"/>
                                <w:szCs w:val="22"/>
                                <w:lang w:val="en-BE"/>
                              </w:rPr>
                              <w:t>with</w:t>
                            </w:r>
                            <w:r w:rsidR="007E4CF1" w:rsidRPr="00F302A6">
                              <w:rPr>
                                <w:sz w:val="22"/>
                                <w:szCs w:val="22"/>
                                <w:lang w:val="en-BE"/>
                              </w:rPr>
                              <w:t xml:space="preserve"> S</w:t>
                            </w:r>
                            <w:r w:rsidRPr="00F302A6">
                              <w:rPr>
                                <w:sz w:val="22"/>
                                <w:szCs w:val="22"/>
                                <w:lang w:val="en-BE"/>
                              </w:rPr>
                              <w:t xml:space="preserve">tatutory </w:t>
                            </w:r>
                            <w:r w:rsidR="007E4CF1" w:rsidRPr="00F302A6">
                              <w:rPr>
                                <w:sz w:val="22"/>
                                <w:szCs w:val="22"/>
                                <w:lang w:val="en-BE"/>
                              </w:rPr>
                              <w:t>M</w:t>
                            </w:r>
                            <w:r w:rsidRPr="00F302A6">
                              <w:rPr>
                                <w:sz w:val="22"/>
                                <w:szCs w:val="22"/>
                                <w:lang w:val="en-BE"/>
                              </w:rPr>
                              <w:t xml:space="preserve">inimum </w:t>
                            </w:r>
                            <w:r w:rsidR="007E4CF1" w:rsidRPr="00F302A6">
                              <w:rPr>
                                <w:sz w:val="22"/>
                                <w:szCs w:val="22"/>
                                <w:lang w:val="en-BE"/>
                              </w:rPr>
                              <w:t>W</w:t>
                            </w:r>
                            <w:r w:rsidRPr="00F302A6">
                              <w:rPr>
                                <w:sz w:val="22"/>
                                <w:szCs w:val="22"/>
                                <w:lang w:val="en-BE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747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45pt;margin-top:80.85pt;width:134.45pt;height:36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" stroked="f">
                <v:textbox>
                  <w:txbxContent>
                    <w:p w14:paraId="2C743F4D" w14:textId="4C3F3D9F" w:rsidR="00C57502" w:rsidRPr="00F302A6" w:rsidRDefault="00F302A6" w:rsidP="00C57502">
                      <w:pPr>
                        <w:rPr>
                          <w:sz w:val="22"/>
                          <w:szCs w:val="22"/>
                          <w:lang w:val="en-BE"/>
                        </w:rPr>
                      </w:pPr>
                      <w:r w:rsidRPr="00F302A6">
                        <w:rPr>
                          <w:sz w:val="22"/>
                          <w:szCs w:val="22"/>
                          <w:lang w:val="en-BE"/>
                        </w:rPr>
                        <w:t>C</w:t>
                      </w:r>
                      <w:r w:rsidR="007E4CF1" w:rsidRPr="00F302A6">
                        <w:rPr>
                          <w:sz w:val="22"/>
                          <w:szCs w:val="22"/>
                          <w:lang w:val="en-BE"/>
                        </w:rPr>
                        <w:t xml:space="preserve">ountries </w:t>
                      </w:r>
                      <w:r w:rsidR="007E4CF1" w:rsidRPr="00F302A6">
                        <w:rPr>
                          <w:b/>
                          <w:bCs/>
                          <w:sz w:val="22"/>
                          <w:szCs w:val="22"/>
                          <w:lang w:val="en-BE"/>
                        </w:rPr>
                        <w:t>with</w:t>
                      </w:r>
                      <w:r w:rsidR="007E4CF1" w:rsidRPr="00F302A6">
                        <w:rPr>
                          <w:sz w:val="22"/>
                          <w:szCs w:val="22"/>
                          <w:lang w:val="en-BE"/>
                        </w:rPr>
                        <w:t xml:space="preserve"> S</w:t>
                      </w:r>
                      <w:r w:rsidRPr="00F302A6">
                        <w:rPr>
                          <w:sz w:val="22"/>
                          <w:szCs w:val="22"/>
                          <w:lang w:val="en-BE"/>
                        </w:rPr>
                        <w:t xml:space="preserve">tatutory </w:t>
                      </w:r>
                      <w:r w:rsidR="007E4CF1" w:rsidRPr="00F302A6">
                        <w:rPr>
                          <w:sz w:val="22"/>
                          <w:szCs w:val="22"/>
                          <w:lang w:val="en-BE"/>
                        </w:rPr>
                        <w:t>M</w:t>
                      </w:r>
                      <w:r w:rsidRPr="00F302A6">
                        <w:rPr>
                          <w:sz w:val="22"/>
                          <w:szCs w:val="22"/>
                          <w:lang w:val="en-BE"/>
                        </w:rPr>
                        <w:t xml:space="preserve">inimum </w:t>
                      </w:r>
                      <w:r w:rsidR="007E4CF1" w:rsidRPr="00F302A6">
                        <w:rPr>
                          <w:sz w:val="22"/>
                          <w:szCs w:val="22"/>
                          <w:lang w:val="en-BE"/>
                        </w:rPr>
                        <w:t>W</w:t>
                      </w:r>
                      <w:r w:rsidRPr="00F302A6">
                        <w:rPr>
                          <w:sz w:val="22"/>
                          <w:szCs w:val="22"/>
                          <w:lang w:val="en-BE"/>
                        </w:rPr>
                        <w:t>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CAF7A4" wp14:editId="5CA4B7D8">
                <wp:simplePos x="0" y="0"/>
                <wp:positionH relativeFrom="margin">
                  <wp:posOffset>3389894</wp:posOffset>
                </wp:positionH>
                <wp:positionV relativeFrom="paragraph">
                  <wp:posOffset>1010285</wp:posOffset>
                </wp:positionV>
                <wp:extent cx="1974850" cy="482600"/>
                <wp:effectExtent l="0" t="0" r="6350" b="0"/>
                <wp:wrapSquare wrapText="bothSides"/>
                <wp:docPr id="9082605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EEF62" w14:textId="556285F5" w:rsidR="00F302A6" w:rsidRPr="00F302A6" w:rsidRDefault="00F302A6" w:rsidP="00F302A6">
                            <w:pPr>
                              <w:rPr>
                                <w:sz w:val="22"/>
                                <w:szCs w:val="22"/>
                                <w:lang w:val="en-BE"/>
                              </w:rPr>
                            </w:pPr>
                            <w:r w:rsidRPr="00F302A6">
                              <w:rPr>
                                <w:sz w:val="22"/>
                                <w:szCs w:val="22"/>
                                <w:lang w:val="en-BE"/>
                              </w:rPr>
                              <w:t>C</w:t>
                            </w:r>
                            <w:r w:rsidRPr="00F302A6">
                              <w:rPr>
                                <w:sz w:val="22"/>
                                <w:szCs w:val="22"/>
                                <w:lang w:val="en-BE"/>
                              </w:rPr>
                              <w:t xml:space="preserve">ountries </w:t>
                            </w:r>
                            <w:r w:rsidRPr="00F302A6">
                              <w:rPr>
                                <w:b/>
                                <w:bCs/>
                                <w:sz w:val="22"/>
                                <w:szCs w:val="22"/>
                                <w:lang w:val="en-BE"/>
                              </w:rPr>
                              <w:t>without</w:t>
                            </w:r>
                            <w:r w:rsidRPr="00F302A6">
                              <w:rPr>
                                <w:sz w:val="22"/>
                                <w:szCs w:val="22"/>
                                <w:lang w:val="en-BE"/>
                              </w:rPr>
                              <w:t xml:space="preserve"> S</w:t>
                            </w:r>
                            <w:r w:rsidRPr="00F302A6">
                              <w:rPr>
                                <w:sz w:val="22"/>
                                <w:szCs w:val="22"/>
                                <w:lang w:val="en-BE"/>
                              </w:rPr>
                              <w:t xml:space="preserve">tatutory </w:t>
                            </w:r>
                            <w:r w:rsidRPr="00F302A6">
                              <w:rPr>
                                <w:sz w:val="22"/>
                                <w:szCs w:val="22"/>
                                <w:lang w:val="en-BE"/>
                              </w:rPr>
                              <w:t>M</w:t>
                            </w:r>
                            <w:r w:rsidRPr="00F302A6">
                              <w:rPr>
                                <w:sz w:val="22"/>
                                <w:szCs w:val="22"/>
                                <w:lang w:val="en-BE"/>
                              </w:rPr>
                              <w:t xml:space="preserve">inimum wage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AF7A4" id="_x0000_s1027" type="#_x0000_t202" style="position:absolute;left:0;text-align:left;margin-left:266.9pt;margin-top:79.55pt;width:155.5pt;height:3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" stroked="f">
                <v:textbox>
                  <w:txbxContent>
                    <w:p w14:paraId="765EEF62" w14:textId="556285F5" w:rsidR="00F302A6" w:rsidRPr="00F302A6" w:rsidRDefault="00F302A6" w:rsidP="00F302A6">
                      <w:pPr>
                        <w:rPr>
                          <w:sz w:val="22"/>
                          <w:szCs w:val="22"/>
                          <w:lang w:val="en-BE"/>
                        </w:rPr>
                      </w:pPr>
                      <w:r w:rsidRPr="00F302A6">
                        <w:rPr>
                          <w:sz w:val="22"/>
                          <w:szCs w:val="22"/>
                          <w:lang w:val="en-BE"/>
                        </w:rPr>
                        <w:t>C</w:t>
                      </w:r>
                      <w:r w:rsidRPr="00F302A6">
                        <w:rPr>
                          <w:sz w:val="22"/>
                          <w:szCs w:val="22"/>
                          <w:lang w:val="en-BE"/>
                        </w:rPr>
                        <w:t xml:space="preserve">ountries </w:t>
                      </w:r>
                      <w:r w:rsidRPr="00F302A6">
                        <w:rPr>
                          <w:b/>
                          <w:bCs/>
                          <w:sz w:val="22"/>
                          <w:szCs w:val="22"/>
                          <w:lang w:val="en-BE"/>
                        </w:rPr>
                        <w:t>without</w:t>
                      </w:r>
                      <w:r w:rsidRPr="00F302A6">
                        <w:rPr>
                          <w:sz w:val="22"/>
                          <w:szCs w:val="22"/>
                          <w:lang w:val="en-BE"/>
                        </w:rPr>
                        <w:t xml:space="preserve"> S</w:t>
                      </w:r>
                      <w:r w:rsidRPr="00F302A6">
                        <w:rPr>
                          <w:sz w:val="22"/>
                          <w:szCs w:val="22"/>
                          <w:lang w:val="en-BE"/>
                        </w:rPr>
                        <w:t xml:space="preserve">tatutory </w:t>
                      </w:r>
                      <w:r w:rsidRPr="00F302A6">
                        <w:rPr>
                          <w:sz w:val="22"/>
                          <w:szCs w:val="22"/>
                          <w:lang w:val="en-BE"/>
                        </w:rPr>
                        <w:t>M</w:t>
                      </w:r>
                      <w:r w:rsidRPr="00F302A6">
                        <w:rPr>
                          <w:sz w:val="22"/>
                          <w:szCs w:val="22"/>
                          <w:lang w:val="en-BE"/>
                        </w:rPr>
                        <w:t xml:space="preserve">inimum wage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00B80" wp14:editId="19D43FAC">
                <wp:simplePos x="0" y="0"/>
                <wp:positionH relativeFrom="margin">
                  <wp:posOffset>-98425</wp:posOffset>
                </wp:positionH>
                <wp:positionV relativeFrom="paragraph">
                  <wp:posOffset>2418499</wp:posOffset>
                </wp:positionV>
                <wp:extent cx="6529705" cy="267335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70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0B980" w14:textId="42908EF9" w:rsidR="00FE0A21" w:rsidRPr="009D1763" w:rsidRDefault="00F302A6" w:rsidP="00767457">
                            <w:pPr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9D1763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BE"/>
                              </w:rPr>
                              <w:t xml:space="preserve">5 Categories </w:t>
                            </w:r>
                            <w:r w:rsidRPr="009D1763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BE"/>
                              </w:rPr>
                              <w:t>based on</w:t>
                            </w:r>
                            <w:r w:rsidRPr="009D1763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BE"/>
                              </w:rPr>
                              <w:t xml:space="preserve"> </w:t>
                            </w:r>
                            <w:r w:rsidR="00767457" w:rsidRPr="009D1763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BE"/>
                              </w:rPr>
                              <w:t xml:space="preserve">a </w:t>
                            </w:r>
                            <w:r w:rsidRPr="009D1763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BE"/>
                              </w:rPr>
                              <w:t>scoring points</w:t>
                            </w:r>
                            <w:r w:rsidRPr="009D1763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BE"/>
                              </w:rPr>
                              <w:t xml:space="preserve"> system: </w:t>
                            </w:r>
                            <w:r w:rsidR="00FE0A21" w:rsidRPr="009D1763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 xml:space="preserve">DARKER colours to the </w:t>
                            </w:r>
                            <w:r w:rsidR="00767457" w:rsidRPr="009D1763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>countri</w:t>
                            </w:r>
                            <w:r w:rsidR="00FE0A21" w:rsidRPr="009D1763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>es that are LESS performing</w:t>
                            </w:r>
                          </w:p>
                          <w:p w14:paraId="37B554B2" w14:textId="04E1DD5D" w:rsidR="00FE0A21" w:rsidRDefault="00FE0A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00B80" id="_x0000_s1028" type="#_x0000_t202" style="position:absolute;left:0;text-align:left;margin-left:-7.75pt;margin-top:190.45pt;width:514.15pt;height:2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" strokecolor="#c00000" strokeweight="1.5pt">
                <v:textbox>
                  <w:txbxContent>
                    <w:p w14:paraId="3F80B980" w14:textId="42908EF9" w:rsidR="00FE0A21" w:rsidRPr="009D1763" w:rsidRDefault="00F302A6" w:rsidP="00767457">
                      <w:pPr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</w:pPr>
                      <w:r w:rsidRPr="009D1763">
                        <w:rPr>
                          <w:i/>
                          <w:iCs/>
                          <w:color w:val="C00000"/>
                          <w:sz w:val="22"/>
                          <w:szCs w:val="22"/>
                          <w:lang w:val="en-BE"/>
                        </w:rPr>
                        <w:t xml:space="preserve">5 Categories </w:t>
                      </w:r>
                      <w:r w:rsidRPr="009D1763">
                        <w:rPr>
                          <w:i/>
                          <w:iCs/>
                          <w:color w:val="C00000"/>
                          <w:sz w:val="22"/>
                          <w:szCs w:val="22"/>
                          <w:lang w:val="en-BE"/>
                        </w:rPr>
                        <w:t>based on</w:t>
                      </w:r>
                      <w:r w:rsidRPr="009D1763">
                        <w:rPr>
                          <w:i/>
                          <w:iCs/>
                          <w:color w:val="C00000"/>
                          <w:sz w:val="22"/>
                          <w:szCs w:val="22"/>
                          <w:lang w:val="en-BE"/>
                        </w:rPr>
                        <w:t xml:space="preserve"> </w:t>
                      </w:r>
                      <w:r w:rsidR="00767457" w:rsidRPr="009D1763">
                        <w:rPr>
                          <w:i/>
                          <w:iCs/>
                          <w:color w:val="C00000"/>
                          <w:sz w:val="22"/>
                          <w:szCs w:val="22"/>
                          <w:lang w:val="en-BE"/>
                        </w:rPr>
                        <w:t xml:space="preserve">a </w:t>
                      </w:r>
                      <w:r w:rsidRPr="009D1763">
                        <w:rPr>
                          <w:i/>
                          <w:iCs/>
                          <w:color w:val="C00000"/>
                          <w:sz w:val="22"/>
                          <w:szCs w:val="22"/>
                          <w:lang w:val="en-BE"/>
                        </w:rPr>
                        <w:t>scoring points</w:t>
                      </w:r>
                      <w:r w:rsidRPr="009D1763">
                        <w:rPr>
                          <w:i/>
                          <w:iCs/>
                          <w:color w:val="C00000"/>
                          <w:sz w:val="22"/>
                          <w:szCs w:val="22"/>
                          <w:lang w:val="en-BE"/>
                        </w:rPr>
                        <w:t xml:space="preserve"> system: </w:t>
                      </w:r>
                      <w:r w:rsidR="00FE0A21" w:rsidRPr="009D1763"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  <w:t xml:space="preserve">DARKER colours to the </w:t>
                      </w:r>
                      <w:r w:rsidR="00767457" w:rsidRPr="009D1763"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  <w:t>countri</w:t>
                      </w:r>
                      <w:r w:rsidR="00FE0A21" w:rsidRPr="009D1763"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  <w:t>es that are LESS performing</w:t>
                      </w:r>
                    </w:p>
                    <w:p w14:paraId="37B554B2" w14:textId="04E1DD5D" w:rsidR="00FE0A21" w:rsidRDefault="00FE0A21"/>
                  </w:txbxContent>
                </v:textbox>
                <w10:wrap anchorx="margin"/>
              </v:shape>
            </w:pict>
          </mc:Fallback>
        </mc:AlternateContent>
      </w:r>
      <w:r w:rsidR="00AA3F47" w:rsidRPr="00AA3F47">
        <w:drawing>
          <wp:inline distT="0" distB="0" distL="0" distR="0" wp14:anchorId="3E7B87FB" wp14:editId="39EE718D">
            <wp:extent cx="563880" cy="2388870"/>
            <wp:effectExtent l="0" t="0" r="7620" b="0"/>
            <wp:docPr id="1289566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664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398" cy="249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F47">
        <w:t xml:space="preserve"> </w:t>
      </w:r>
    </w:p>
    <w:p w14:paraId="196FC589" w14:textId="18E06D00" w:rsidR="00F302A6" w:rsidRDefault="00F302A6" w:rsidP="009F58B3">
      <w:pPr>
        <w:jc w:val="both"/>
      </w:pPr>
    </w:p>
    <w:p w14:paraId="018975C0" w14:textId="654706FA" w:rsidR="00B230F2" w:rsidRDefault="00D306DE" w:rsidP="009F58B3">
      <w:pPr>
        <w:jc w:val="both"/>
      </w:pPr>
      <w:r>
        <w:t>The key objective of the Adequate Minimum Wage Directive (hereinafter AMWD)</w:t>
      </w:r>
      <w:r>
        <w:rPr>
          <w:rStyle w:val="FootnoteReference"/>
        </w:rPr>
        <w:footnoteReference w:id="1"/>
      </w:r>
      <w:r>
        <w:t xml:space="preserve"> is </w:t>
      </w:r>
      <w:r w:rsidR="00CC5B33">
        <w:t xml:space="preserve">to improve living and working conditions in the European Union by </w:t>
      </w:r>
      <w:r w:rsidR="00715C64">
        <w:t xml:space="preserve">reducing in-work poverty and wage inequality. </w:t>
      </w:r>
      <w:r w:rsidR="00013208">
        <w:t xml:space="preserve">In order to achieve these overarching objectives the AMWD aims at ensuring adequate minimum wage levels and strong collective bargaining. </w:t>
      </w:r>
      <w:r w:rsidR="00B230F2">
        <w:t xml:space="preserve">The ETUC’s </w:t>
      </w:r>
      <w:r w:rsidR="00425CA5">
        <w:t xml:space="preserve">AMWD </w:t>
      </w:r>
      <w:r w:rsidR="00B230F2">
        <w:t xml:space="preserve">dashboard, therefore, consists of </w:t>
      </w:r>
      <w:r w:rsidR="000904FF">
        <w:t xml:space="preserve">a range of parameters to assess the </w:t>
      </w:r>
      <w:r w:rsidR="008F31B8">
        <w:t xml:space="preserve">regimes of </w:t>
      </w:r>
      <w:r w:rsidR="00AB1AD6">
        <w:t xml:space="preserve">statutory </w:t>
      </w:r>
      <w:r w:rsidR="008F31B8">
        <w:t xml:space="preserve">minimum wage setting and the collective bargaining systems in all the 27 EU Member States. </w:t>
      </w:r>
      <w:r w:rsidR="00425CA5">
        <w:t xml:space="preserve">More specifically, the dashboard consists of </w:t>
      </w:r>
      <w:r w:rsidR="00E15FCD">
        <w:t>four</w:t>
      </w:r>
      <w:r w:rsidR="00425CA5">
        <w:t xml:space="preserve"> parts</w:t>
      </w:r>
      <w:r w:rsidR="00E15FCD">
        <w:t xml:space="preserve"> each of which is broken down into a set of specific parameters</w:t>
      </w:r>
      <w:r w:rsidR="00425CA5">
        <w:t xml:space="preserve">: </w:t>
      </w:r>
      <w:r w:rsidR="001D6AC4">
        <w:t xml:space="preserve">the first part deals with the </w:t>
      </w:r>
      <w:r w:rsidR="00E15FCD">
        <w:t>system of minimum wage setting</w:t>
      </w:r>
      <w:r w:rsidR="006F2BBE">
        <w:t xml:space="preserve"> and is comprised of </w:t>
      </w:r>
      <w:r w:rsidR="00AB1AD6">
        <w:t>five</w:t>
      </w:r>
      <w:r w:rsidR="006F2BBE">
        <w:t xml:space="preserve"> parameters; the second part comprises three parameters dealing with the overarching objective of the AMWD; the third part serves to assess collective bargaining systems based on a set of </w:t>
      </w:r>
      <w:r w:rsidR="009167C3">
        <w:t xml:space="preserve">six parameters; and the fourth part assesses </w:t>
      </w:r>
      <w:r w:rsidR="00815A31">
        <w:t>the process of transposing the AMWD into national law based on four parameters.</w:t>
      </w:r>
    </w:p>
    <w:p w14:paraId="0A0D8CB6" w14:textId="553B2B47" w:rsidR="007147D2" w:rsidRDefault="00EF1A77" w:rsidP="009F58B3">
      <w:pPr>
        <w:jc w:val="both"/>
      </w:pPr>
      <w:r>
        <w:t>In the following we will outline the basic considerations on which the scoring system in the dashboard is based.</w:t>
      </w:r>
      <w:r w:rsidR="00D306DE">
        <w:t xml:space="preserve"> </w:t>
      </w:r>
      <w:r w:rsidR="00A13314">
        <w:t xml:space="preserve">The countries are scored for each parameter, except for </w:t>
      </w:r>
      <w:r w:rsidR="00AB1AD6">
        <w:t xml:space="preserve">those </w:t>
      </w:r>
      <w:r w:rsidR="002C154D">
        <w:t xml:space="preserve">five </w:t>
      </w:r>
      <w:r w:rsidR="00A13314">
        <w:t xml:space="preserve">countries </w:t>
      </w:r>
      <w:r w:rsidR="00B25FFA">
        <w:t>which have no statutory</w:t>
      </w:r>
      <w:r w:rsidR="002C154D">
        <w:t xml:space="preserve"> minimum wage</w:t>
      </w:r>
      <w:r w:rsidR="00B25FFA">
        <w:t xml:space="preserve">. This means that </w:t>
      </w:r>
      <w:r w:rsidR="00707C82">
        <w:t xml:space="preserve">concerning statutory minimum wage systems </w:t>
      </w:r>
      <w:r w:rsidR="00A13314">
        <w:t xml:space="preserve">no scores </w:t>
      </w:r>
      <w:r w:rsidR="003C731B">
        <w:t xml:space="preserve">are </w:t>
      </w:r>
      <w:r w:rsidR="00A13314">
        <w:t>calculated for Austria, Denma</w:t>
      </w:r>
      <w:r w:rsidR="002C154D">
        <w:t>rk, Finland, Italy and Sweden</w:t>
      </w:r>
      <w:r w:rsidR="002943D9">
        <w:t>.</w:t>
      </w:r>
      <w:r w:rsidR="00F13786">
        <w:t xml:space="preserve"> </w:t>
      </w:r>
      <w:r w:rsidR="004919D2">
        <w:t xml:space="preserve">Below we will describe in more detail the various indicators used to </w:t>
      </w:r>
      <w:r w:rsidR="000903EA">
        <w:t xml:space="preserve">assess the systems of statutory minimum wage setting and collective bargaining in the 27 EU Member States. It should be emphasised that the overarching </w:t>
      </w:r>
      <w:r w:rsidR="00145B82">
        <w:t>categories gender pay gap, in-work poverty and wage inequality have been as</w:t>
      </w:r>
      <w:r w:rsidR="004775DF">
        <w:t xml:space="preserve">signed to the analysis of both – statutory minimum wage systems and collective bargaining systems – because </w:t>
      </w:r>
      <w:r w:rsidR="00D2564D">
        <w:t>as set out in the AMWD</w:t>
      </w:r>
      <w:r w:rsidR="00F053E6">
        <w:t>,</w:t>
      </w:r>
      <w:r w:rsidR="00D2564D">
        <w:t xml:space="preserve"> adequate statutory minimum wages as well as strong collective bargaining systems are essential tools to </w:t>
      </w:r>
      <w:r w:rsidR="001C6567">
        <w:t>reduce the gender pay gap, in-work poverty and wage inequality.</w:t>
      </w:r>
    </w:p>
    <w:p w14:paraId="4D4C864A" w14:textId="3C7D16C6" w:rsidR="001C6567" w:rsidRPr="003A7239" w:rsidRDefault="006C5D83" w:rsidP="009F58B3">
      <w:pPr>
        <w:jc w:val="both"/>
        <w:rPr>
          <w:b/>
          <w:bCs/>
          <w:u w:val="single"/>
        </w:rPr>
      </w:pPr>
      <w:r w:rsidRPr="003A7239">
        <w:rPr>
          <w:b/>
          <w:bCs/>
          <w:u w:val="single"/>
        </w:rPr>
        <w:lastRenderedPageBreak/>
        <w:t xml:space="preserve">Scores </w:t>
      </w:r>
      <w:r w:rsidR="00BC3732" w:rsidRPr="003A7239">
        <w:rPr>
          <w:b/>
          <w:bCs/>
          <w:u w:val="single"/>
        </w:rPr>
        <w:t>to asses statutory minimum wage systems</w:t>
      </w:r>
    </w:p>
    <w:p w14:paraId="234832F7" w14:textId="75D2AD8A" w:rsidR="002943D9" w:rsidRDefault="00CD34E4" w:rsidP="009F58B3">
      <w:pPr>
        <w:jc w:val="both"/>
      </w:pPr>
      <w:r>
        <w:t>(1)</w:t>
      </w:r>
      <w:r w:rsidR="002943D9">
        <w:t xml:space="preserve">The first indicator – </w:t>
      </w:r>
      <w:r w:rsidR="002943D9" w:rsidRPr="0092121C">
        <w:rPr>
          <w:b/>
          <w:bCs/>
          <w:i/>
          <w:iCs/>
        </w:rPr>
        <w:t>minimum wage as percentage of gross median wage</w:t>
      </w:r>
      <w:r w:rsidR="00036415">
        <w:t xml:space="preserve"> </w:t>
      </w:r>
      <w:r w:rsidR="00062DD1">
        <w:t>–</w:t>
      </w:r>
      <w:r w:rsidR="00036415">
        <w:t xml:space="preserve"> </w:t>
      </w:r>
      <w:r w:rsidR="00062DD1">
        <w:t>is based on the 202</w:t>
      </w:r>
      <w:r w:rsidR="004F776C">
        <w:t>3</w:t>
      </w:r>
      <w:r w:rsidR="00062DD1">
        <w:t xml:space="preserve"> </w:t>
      </w:r>
      <w:r w:rsidR="00EE3549">
        <w:t>country data</w:t>
      </w:r>
      <w:r w:rsidR="00BC19F0">
        <w:t xml:space="preserve"> available</w:t>
      </w:r>
      <w:r w:rsidR="00BC3732">
        <w:t xml:space="preserve"> from the </w:t>
      </w:r>
      <w:r w:rsidR="004F776C">
        <w:t>OECD Earnings database</w:t>
      </w:r>
      <w:r w:rsidR="00E04F48">
        <w:rPr>
          <w:rStyle w:val="FootnoteReference"/>
        </w:rPr>
        <w:footnoteReference w:id="2"/>
      </w:r>
      <w:r w:rsidR="00BC19F0">
        <w:t>.</w:t>
      </w:r>
      <w:r w:rsidR="00AE2933">
        <w:t xml:space="preserve"> </w:t>
      </w:r>
      <w:r w:rsidR="00033632">
        <w:t xml:space="preserve">For the assessment of the adequacy of minimum wages, </w:t>
      </w:r>
      <w:r w:rsidR="008E2B8A">
        <w:t xml:space="preserve">the AMWD </w:t>
      </w:r>
      <w:r w:rsidR="00033632">
        <w:t xml:space="preserve">suggests to use </w:t>
      </w:r>
      <w:r w:rsidR="00B15A39">
        <w:t xml:space="preserve">60% of </w:t>
      </w:r>
      <w:r w:rsidR="00E74A1B">
        <w:t xml:space="preserve">full-time </w:t>
      </w:r>
      <w:r w:rsidR="00B15A39">
        <w:t>gross median wage</w:t>
      </w:r>
      <w:r w:rsidR="00E74A1B">
        <w:t xml:space="preserve"> and 50% of the </w:t>
      </w:r>
      <w:r w:rsidR="00DF115C">
        <w:t>full-time average wage as reference values</w:t>
      </w:r>
      <w:r w:rsidR="00977958">
        <w:t>.</w:t>
      </w:r>
      <w:r w:rsidR="008355AD">
        <w:rPr>
          <w:rStyle w:val="FootnoteReference"/>
        </w:rPr>
        <w:footnoteReference w:id="3"/>
      </w:r>
      <w:r w:rsidR="003C379D">
        <w:t xml:space="preserve"> </w:t>
      </w:r>
      <w:r w:rsidR="00DF115C">
        <w:t xml:space="preserve">Thus, the first indicator for the scores dashboard is 60% of the full-time gross median wage. </w:t>
      </w:r>
      <w:r w:rsidR="003C379D">
        <w:t xml:space="preserve">Countries </w:t>
      </w:r>
      <w:r w:rsidR="00FC1AB7">
        <w:t>are</w:t>
      </w:r>
      <w:r w:rsidR="003C379D">
        <w:t xml:space="preserve"> scored on a 15</w:t>
      </w:r>
      <w:r w:rsidR="00113CB1">
        <w:t>-</w:t>
      </w:r>
      <w:r w:rsidR="003C379D">
        <w:t>point maximum</w:t>
      </w:r>
      <w:r w:rsidR="00113CB1">
        <w:t xml:space="preserve"> with the full 15 points awarded to countries </w:t>
      </w:r>
      <w:r w:rsidR="00F722AB">
        <w:t xml:space="preserve">in which the relative value of the minimum wage is at least </w:t>
      </w:r>
      <w:r w:rsidR="00942F65">
        <w:t xml:space="preserve">60% of </w:t>
      </w:r>
      <w:r w:rsidR="00F722AB">
        <w:t xml:space="preserve">the </w:t>
      </w:r>
      <w:r w:rsidR="00942F65">
        <w:t>gross median wage. For every two percentage points</w:t>
      </w:r>
      <w:r w:rsidR="005C5000">
        <w:t xml:space="preserve"> below 60%, one point is deducted (i.e. 14 points for scores between 60-58%, 13 points </w:t>
      </w:r>
      <w:r w:rsidR="00BE142C">
        <w:t>for scores between 57-56% and so on).</w:t>
      </w:r>
    </w:p>
    <w:p w14:paraId="618180B9" w14:textId="04573301" w:rsidR="00BD28F7" w:rsidRDefault="00CD34E4" w:rsidP="009F58B3">
      <w:pPr>
        <w:jc w:val="both"/>
      </w:pPr>
      <w:r>
        <w:t>(2)</w:t>
      </w:r>
      <w:r w:rsidR="00BD28F7">
        <w:t xml:space="preserve">The second indicator – </w:t>
      </w:r>
      <w:r w:rsidR="00BD28F7" w:rsidRPr="0092121C">
        <w:rPr>
          <w:b/>
          <w:bCs/>
          <w:i/>
          <w:iCs/>
        </w:rPr>
        <w:t>minimum wage as percentage of gross average wage</w:t>
      </w:r>
      <w:r w:rsidR="00BD28F7">
        <w:t xml:space="preserve"> </w:t>
      </w:r>
      <w:r w:rsidR="00AF1EF8">
        <w:t>–</w:t>
      </w:r>
      <w:r w:rsidR="00BD28F7">
        <w:t xml:space="preserve"> </w:t>
      </w:r>
      <w:r w:rsidR="00AF1EF8">
        <w:t>is also based on the 202</w:t>
      </w:r>
      <w:r w:rsidR="00BC0CE6">
        <w:t>3</w:t>
      </w:r>
      <w:r w:rsidR="00AF1EF8">
        <w:t xml:space="preserve"> country data available</w:t>
      </w:r>
      <w:r w:rsidR="001A63D1">
        <w:t xml:space="preserve"> from the OECD Earnings Database</w:t>
      </w:r>
      <w:r w:rsidR="00AF1EF8">
        <w:t xml:space="preserve">. </w:t>
      </w:r>
      <w:r w:rsidR="00794721">
        <w:t>Concerning this</w:t>
      </w:r>
      <w:r w:rsidR="00AF1F60">
        <w:t xml:space="preserve"> indicative reference value for the adequacy of statutory minimum wages</w:t>
      </w:r>
      <w:r w:rsidR="00794721">
        <w:t>,</w:t>
      </w:r>
      <w:r w:rsidR="00640616">
        <w:t xml:space="preserve"> </w:t>
      </w:r>
      <w:r w:rsidR="00794721">
        <w:t>c</w:t>
      </w:r>
      <w:r w:rsidR="00640616">
        <w:t xml:space="preserve">ountries </w:t>
      </w:r>
      <w:r w:rsidR="006E4617">
        <w:t>are</w:t>
      </w:r>
      <w:r w:rsidR="00640616">
        <w:t xml:space="preserve"> scored on a 15-point maximum with the full 15 points awarded to countries </w:t>
      </w:r>
      <w:r w:rsidR="00A63E49">
        <w:t xml:space="preserve">in which the relative value of the statutory minimum wage is at least </w:t>
      </w:r>
      <w:r w:rsidR="00640616">
        <w:t xml:space="preserve"> 50% of</w:t>
      </w:r>
      <w:r w:rsidR="002175C6">
        <w:t xml:space="preserve"> the</w:t>
      </w:r>
      <w:r w:rsidR="00640616">
        <w:t xml:space="preserve"> gross average wage. For every two percentage points below 50%, one point is deducted (i.e. 14 points for scores between 50-</w:t>
      </w:r>
      <w:r w:rsidR="0092121C">
        <w:t>4</w:t>
      </w:r>
      <w:r w:rsidR="00640616">
        <w:t xml:space="preserve">8%, 13 points for scores between </w:t>
      </w:r>
      <w:r w:rsidR="0092121C">
        <w:t>4</w:t>
      </w:r>
      <w:r w:rsidR="00640616">
        <w:t>7-</w:t>
      </w:r>
      <w:r w:rsidR="0092121C">
        <w:t>4</w:t>
      </w:r>
      <w:r w:rsidR="00640616">
        <w:t>6% and so on).</w:t>
      </w:r>
    </w:p>
    <w:p w14:paraId="3D033CC3" w14:textId="07FCDD61" w:rsidR="0092121C" w:rsidRDefault="00CD34E4" w:rsidP="009F58B3">
      <w:pPr>
        <w:jc w:val="both"/>
      </w:pPr>
      <w:r>
        <w:t>(3)</w:t>
      </w:r>
      <w:r w:rsidR="0092121C">
        <w:t xml:space="preserve">The third indicator </w:t>
      </w:r>
      <w:r w:rsidR="00D15558">
        <w:t>–</w:t>
      </w:r>
      <w:r w:rsidR="0092121C">
        <w:t xml:space="preserve"> </w:t>
      </w:r>
      <w:r w:rsidR="005B12FE" w:rsidRPr="00CD34E4">
        <w:rPr>
          <w:b/>
          <w:bCs/>
          <w:i/>
          <w:iCs/>
        </w:rPr>
        <w:t>variations from statutory minimum wages</w:t>
      </w:r>
      <w:r w:rsidR="005B12FE">
        <w:t xml:space="preserve"> – </w:t>
      </w:r>
      <w:r w:rsidR="006E4617">
        <w:t>is</w:t>
      </w:r>
      <w:r w:rsidR="005B12FE">
        <w:t xml:space="preserve"> scored on a </w:t>
      </w:r>
      <w:r w:rsidR="00A47D3E">
        <w:t>dichotomous</w:t>
      </w:r>
      <w:r w:rsidR="005B12FE">
        <w:t xml:space="preserve"> </w:t>
      </w:r>
      <w:r w:rsidR="0059416B">
        <w:t xml:space="preserve">scale </w:t>
      </w:r>
      <w:r w:rsidR="005B12FE">
        <w:t>(yes – no)</w:t>
      </w:r>
      <w:r w:rsidR="0059416B">
        <w:t>, with variations from statutory minimum wages being awarded zero points. If no variations are foreseen, the full 5-points score is awarded.</w:t>
      </w:r>
    </w:p>
    <w:p w14:paraId="1E1ABDB7" w14:textId="684B143A" w:rsidR="00CD34E4" w:rsidRDefault="00E40744" w:rsidP="009F58B3">
      <w:pPr>
        <w:jc w:val="both"/>
      </w:pPr>
      <w:r>
        <w:t>(4)</w:t>
      </w:r>
      <w:r w:rsidR="00CD34E4">
        <w:t xml:space="preserve">The fourth indicator </w:t>
      </w:r>
      <w:r w:rsidR="00D15558">
        <w:t>–</w:t>
      </w:r>
      <w:r w:rsidR="00CD34E4">
        <w:t xml:space="preserve"> </w:t>
      </w:r>
      <w:r w:rsidR="003957F8">
        <w:rPr>
          <w:b/>
          <w:bCs/>
          <w:i/>
          <w:iCs/>
        </w:rPr>
        <w:t>c</w:t>
      </w:r>
      <w:r w:rsidR="003957F8" w:rsidRPr="003957F8">
        <w:rPr>
          <w:b/>
          <w:bCs/>
          <w:i/>
          <w:iCs/>
        </w:rPr>
        <w:t>onsultative body on statutory minimum wages and social partner involvement</w:t>
      </w:r>
      <w:r w:rsidR="003957F8">
        <w:rPr>
          <w:b/>
          <w:bCs/>
          <w:i/>
          <w:iCs/>
        </w:rPr>
        <w:t xml:space="preserve"> foreseen </w:t>
      </w:r>
      <w:r w:rsidR="00CD34E4">
        <w:t xml:space="preserve">– </w:t>
      </w:r>
      <w:r w:rsidR="006E4617">
        <w:t>is</w:t>
      </w:r>
      <w:r w:rsidR="00CD34E4">
        <w:t xml:space="preserve"> scored on a dichotomous scale (yes – no), with </w:t>
      </w:r>
      <w:r w:rsidR="003957F8">
        <w:t xml:space="preserve">a consultation </w:t>
      </w:r>
      <w:r w:rsidR="00A707AC">
        <w:t>body foreseen resulting in a</w:t>
      </w:r>
      <w:r w:rsidR="00CD34E4">
        <w:t xml:space="preserve"> 5-points score </w:t>
      </w:r>
      <w:r w:rsidR="00A707AC">
        <w:t>being</w:t>
      </w:r>
      <w:r w:rsidR="00CD34E4">
        <w:t xml:space="preserve"> awarded.</w:t>
      </w:r>
      <w:r w:rsidR="00A707AC">
        <w:t xml:space="preserve"> Countries without such consultation body foreseen, </w:t>
      </w:r>
      <w:r w:rsidR="006E4617">
        <w:t>are</w:t>
      </w:r>
      <w:r w:rsidR="00A707AC">
        <w:t xml:space="preserve"> not awarded points.</w:t>
      </w:r>
    </w:p>
    <w:p w14:paraId="611471D4" w14:textId="1F6F4907" w:rsidR="00E40744" w:rsidRDefault="00E40744" w:rsidP="009F58B3">
      <w:pPr>
        <w:jc w:val="both"/>
      </w:pPr>
      <w:r>
        <w:t>(5)</w:t>
      </w:r>
      <w:r w:rsidR="00702EBA">
        <w:t xml:space="preserve"> The fifth indicator </w:t>
      </w:r>
      <w:r w:rsidR="00974E9B">
        <w:t>–</w:t>
      </w:r>
      <w:r w:rsidR="00702EBA">
        <w:t xml:space="preserve"> </w:t>
      </w:r>
      <w:r w:rsidR="00702EBA" w:rsidRPr="00100188">
        <w:rPr>
          <w:b/>
          <w:bCs/>
          <w:i/>
          <w:iCs/>
        </w:rPr>
        <w:t>proportion of employees earning the minimum wage (in percent)</w:t>
      </w:r>
      <w:r w:rsidR="00702EBA">
        <w:t xml:space="preserve"> </w:t>
      </w:r>
      <w:r w:rsidR="00974E9B">
        <w:t>–</w:t>
      </w:r>
      <w:r w:rsidR="00702EBA">
        <w:t xml:space="preserve"> </w:t>
      </w:r>
      <w:r w:rsidR="006E4617">
        <w:t>is</w:t>
      </w:r>
      <w:r w:rsidR="00974E9B">
        <w:t xml:space="preserve"> scored on a </w:t>
      </w:r>
      <w:r w:rsidR="000441EA">
        <w:t>10</w:t>
      </w:r>
      <w:r w:rsidR="00974E9B">
        <w:t xml:space="preserve">-point scale. The median score for all EU countries </w:t>
      </w:r>
      <w:r w:rsidR="006E4617">
        <w:t>is</w:t>
      </w:r>
      <w:r w:rsidR="00974E9B">
        <w:t xml:space="preserve"> calculated </w:t>
      </w:r>
      <w:r w:rsidR="000441EA">
        <w:t xml:space="preserve">(6.44%) and countries with a </w:t>
      </w:r>
      <w:r w:rsidR="001B6EAD">
        <w:t xml:space="preserve">score </w:t>
      </w:r>
      <w:r w:rsidR="006C2DA8">
        <w:t xml:space="preserve">below the median score </w:t>
      </w:r>
      <w:r w:rsidR="006E4617">
        <w:t>are</w:t>
      </w:r>
      <w:r w:rsidR="006C2DA8">
        <w:t xml:space="preserve"> awarded full points (10). Countries </w:t>
      </w:r>
      <w:r w:rsidR="00C43A23">
        <w:t xml:space="preserve">exactly on the median score </w:t>
      </w:r>
      <w:r w:rsidR="006E4617">
        <w:t>are</w:t>
      </w:r>
      <w:r w:rsidR="00C43A23">
        <w:t xml:space="preserve"> awarded 8 points. </w:t>
      </w:r>
      <w:r w:rsidR="00136D74">
        <w:t xml:space="preserve">Countries above the EU median score </w:t>
      </w:r>
      <w:r w:rsidR="006E4617">
        <w:t>are</w:t>
      </w:r>
      <w:r w:rsidR="00136D74">
        <w:t xml:space="preserve"> awarded 1 point less for each 0.5% increment above the median.</w:t>
      </w:r>
    </w:p>
    <w:p w14:paraId="09630060" w14:textId="2CD29C9A" w:rsidR="00100188" w:rsidRDefault="00100188" w:rsidP="009F58B3">
      <w:pPr>
        <w:jc w:val="both"/>
      </w:pPr>
      <w:r>
        <w:t xml:space="preserve">(6) The sixth indicator </w:t>
      </w:r>
      <w:r w:rsidR="00BE02A7">
        <w:t>–</w:t>
      </w:r>
      <w:r>
        <w:t xml:space="preserve"> </w:t>
      </w:r>
      <w:r w:rsidR="00BE02A7" w:rsidRPr="00BE02A7">
        <w:rPr>
          <w:b/>
          <w:bCs/>
          <w:i/>
          <w:iCs/>
        </w:rPr>
        <w:t>gender pay gap (in percent)</w:t>
      </w:r>
      <w:r w:rsidR="00BE02A7" w:rsidRPr="00BE02A7">
        <w:t xml:space="preserve"> </w:t>
      </w:r>
      <w:r w:rsidR="00BE02A7">
        <w:t>– is based on the 2022 Eurostat country data available</w:t>
      </w:r>
      <w:r w:rsidR="004D649E">
        <w:t xml:space="preserve"> and scored on a 10-point scale</w:t>
      </w:r>
      <w:r w:rsidR="00BE02A7">
        <w:t>.</w:t>
      </w:r>
      <w:r w:rsidR="004D649E">
        <w:t xml:space="preserve"> The EU average score was</w:t>
      </w:r>
      <w:r w:rsidR="006B7F38">
        <w:t xml:space="preserve"> calculated for all countries (12%) and countries below the </w:t>
      </w:r>
      <w:r w:rsidR="006556BF">
        <w:t xml:space="preserve">average score </w:t>
      </w:r>
      <w:r w:rsidR="00FC1AB7">
        <w:t>are</w:t>
      </w:r>
      <w:r w:rsidR="006556BF">
        <w:t xml:space="preserve"> awarded full points (10).</w:t>
      </w:r>
      <w:r w:rsidR="00382A9C">
        <w:t xml:space="preserve"> </w:t>
      </w:r>
      <w:r w:rsidR="006E4617">
        <w:t xml:space="preserve">Countries above the EU average score are awarded 2 points less for each 1% increment above the average score. </w:t>
      </w:r>
    </w:p>
    <w:p w14:paraId="02DB2189" w14:textId="5CB23833" w:rsidR="00BA7425" w:rsidRDefault="006E4617" w:rsidP="009F58B3">
      <w:pPr>
        <w:jc w:val="both"/>
      </w:pPr>
      <w:r>
        <w:lastRenderedPageBreak/>
        <w:t>(7)</w:t>
      </w:r>
      <w:r w:rsidR="00C507A3" w:rsidRPr="00C507A3">
        <w:t xml:space="preserve"> </w:t>
      </w:r>
      <w:r w:rsidR="00C507A3">
        <w:t xml:space="preserve">The seventh indicator – </w:t>
      </w:r>
      <w:r w:rsidR="00C507A3" w:rsidRPr="00C507A3">
        <w:rPr>
          <w:b/>
          <w:bCs/>
          <w:i/>
          <w:iCs/>
        </w:rPr>
        <w:t>in-work poverty rate</w:t>
      </w:r>
      <w:r w:rsidR="00C507A3" w:rsidRPr="00BE02A7">
        <w:rPr>
          <w:b/>
          <w:bCs/>
          <w:i/>
          <w:iCs/>
        </w:rPr>
        <w:t xml:space="preserve"> (in percent)</w:t>
      </w:r>
      <w:r w:rsidR="00C507A3" w:rsidRPr="00BE02A7">
        <w:t xml:space="preserve"> </w:t>
      </w:r>
      <w:r w:rsidR="00C507A3">
        <w:t>– is based on the 2023 Eurostat country data available and scored on a 10-point scale.</w:t>
      </w:r>
      <w:r w:rsidR="00BA7425">
        <w:t xml:space="preserve"> The EU average score was calculated for all countries (8%) and countries below the average score are awarded full points (10). Countries </w:t>
      </w:r>
      <w:r w:rsidR="00AC77C6">
        <w:t>on the EU-average score are awarded eight</w:t>
      </w:r>
      <w:r w:rsidR="00315E98">
        <w:t xml:space="preserve"> points. Countries </w:t>
      </w:r>
      <w:r w:rsidR="00BA7425">
        <w:t xml:space="preserve">above the EU average score are awarded 2 points less for each 1% increment above the average score. </w:t>
      </w:r>
    </w:p>
    <w:p w14:paraId="6583FAA4" w14:textId="2B52736C" w:rsidR="00E45861" w:rsidRDefault="00380299" w:rsidP="009F58B3">
      <w:pPr>
        <w:jc w:val="both"/>
      </w:pPr>
      <w:r>
        <w:t xml:space="preserve">(8) The eighth indicator – </w:t>
      </w:r>
      <w:r>
        <w:rPr>
          <w:b/>
          <w:bCs/>
          <w:i/>
          <w:iCs/>
        </w:rPr>
        <w:t>wage inequality</w:t>
      </w:r>
      <w:r w:rsidRPr="00BE02A7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 xml:space="preserve">by </w:t>
      </w:r>
      <w:r w:rsidR="00A62891">
        <w:rPr>
          <w:b/>
          <w:bCs/>
          <w:i/>
          <w:iCs/>
        </w:rPr>
        <w:t>P</w:t>
      </w:r>
      <w:r w:rsidR="00A62891" w:rsidRPr="00A62891">
        <w:rPr>
          <w:b/>
          <w:bCs/>
          <w:i/>
          <w:iCs/>
        </w:rPr>
        <w:t>9</w:t>
      </w:r>
      <w:r w:rsidR="00A62891">
        <w:rPr>
          <w:b/>
          <w:bCs/>
          <w:i/>
          <w:iCs/>
        </w:rPr>
        <w:t>0</w:t>
      </w:r>
      <w:r w:rsidR="00A62891" w:rsidRPr="00A62891">
        <w:rPr>
          <w:b/>
          <w:bCs/>
          <w:i/>
          <w:iCs/>
        </w:rPr>
        <w:t>/</w:t>
      </w:r>
      <w:r w:rsidR="00A62891">
        <w:rPr>
          <w:b/>
          <w:bCs/>
          <w:i/>
          <w:iCs/>
        </w:rPr>
        <w:t>P</w:t>
      </w:r>
      <w:r w:rsidR="00A62891" w:rsidRPr="00A62891">
        <w:rPr>
          <w:b/>
          <w:bCs/>
          <w:i/>
          <w:iCs/>
        </w:rPr>
        <w:t>1</w:t>
      </w:r>
      <w:r w:rsidR="00A62891">
        <w:rPr>
          <w:b/>
          <w:bCs/>
          <w:i/>
          <w:iCs/>
        </w:rPr>
        <w:t>0</w:t>
      </w:r>
      <w:r w:rsidR="00A62891" w:rsidRPr="00A628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interdecile</w:t>
      </w:r>
      <w:proofErr w:type="spellEnd"/>
      <w:r>
        <w:rPr>
          <w:b/>
          <w:bCs/>
          <w:i/>
          <w:iCs/>
        </w:rPr>
        <w:t xml:space="preserve"> </w:t>
      </w:r>
      <w:r w:rsidR="005F5585">
        <w:rPr>
          <w:b/>
          <w:bCs/>
          <w:i/>
          <w:iCs/>
        </w:rPr>
        <w:t>ratio</w:t>
      </w:r>
      <w:r w:rsidRPr="00BE02A7">
        <w:rPr>
          <w:b/>
          <w:bCs/>
          <w:i/>
          <w:iCs/>
        </w:rPr>
        <w:t>)</w:t>
      </w:r>
      <w:r w:rsidRPr="00BE02A7">
        <w:t xml:space="preserve"> </w:t>
      </w:r>
      <w:r>
        <w:t>– is based on the 202</w:t>
      </w:r>
      <w:r w:rsidR="00A62891">
        <w:t>2</w:t>
      </w:r>
      <w:r>
        <w:t xml:space="preserve"> </w:t>
      </w:r>
      <w:r w:rsidR="00A62891">
        <w:t>OECD</w:t>
      </w:r>
      <w:r>
        <w:t xml:space="preserve"> </w:t>
      </w:r>
      <w:r w:rsidR="00A62891">
        <w:t>statistical</w:t>
      </w:r>
      <w:r>
        <w:t xml:space="preserve"> data available and scored on a 10-point scale</w:t>
      </w:r>
      <w:r w:rsidR="00E45861">
        <w:t>. The EU average score was calculated for all countries (</w:t>
      </w:r>
      <w:r w:rsidR="00F835C8">
        <w:t>3.4</w:t>
      </w:r>
      <w:r w:rsidR="00E45861">
        <w:t xml:space="preserve">) and countries below the average score are awarded full points (10). Countries on the EU-average score are awarded eight points. Countries above the EU average score are awarded 2 points less for each </w:t>
      </w:r>
      <w:r w:rsidR="00F835C8">
        <w:t>0.3</w:t>
      </w:r>
      <w:r w:rsidR="00E45861">
        <w:t xml:space="preserve"> increment above the average score. </w:t>
      </w:r>
    </w:p>
    <w:p w14:paraId="134F68C5" w14:textId="204C54DA" w:rsidR="00786874" w:rsidRDefault="00786874" w:rsidP="009F58B3">
      <w:pPr>
        <w:jc w:val="both"/>
      </w:pPr>
      <w:r>
        <w:t xml:space="preserve">(9) </w:t>
      </w:r>
      <w:bookmarkStart w:id="0" w:name="_Hlk177564046"/>
      <w:r>
        <w:t>The ninth indicator</w:t>
      </w:r>
      <w:r w:rsidR="00B4742B">
        <w:t xml:space="preserve"> is</w:t>
      </w:r>
      <w:r>
        <w:t xml:space="preserve"> the </w:t>
      </w:r>
      <w:r w:rsidRPr="007A0AEF">
        <w:rPr>
          <w:b/>
          <w:bCs/>
          <w:i/>
          <w:iCs/>
        </w:rPr>
        <w:t>legislative</w:t>
      </w:r>
      <w:r>
        <w:t xml:space="preserve"> </w:t>
      </w:r>
      <w:r w:rsidRPr="002D48B9">
        <w:rPr>
          <w:b/>
          <w:bCs/>
          <w:i/>
          <w:iCs/>
        </w:rPr>
        <w:t>implementation progress</w:t>
      </w:r>
      <w:r>
        <w:t xml:space="preserve"> of Member States on the minimum wage obligations (15a) arising from the AMWD</w:t>
      </w:r>
      <w:r w:rsidR="00B4742B">
        <w:t xml:space="preserve">. </w:t>
      </w:r>
      <w:r w:rsidR="00B4742B" w:rsidRPr="00B4742B">
        <w:t>Member States have to transpose and implement the AMWD by 15 November  2024.</w:t>
      </w:r>
      <w:r w:rsidR="00B4742B">
        <w:t xml:space="preserve"> </w:t>
      </w:r>
      <w:r w:rsidR="00720637">
        <w:t xml:space="preserve">The scoring of the transposition process is divided into five different stages of the transposition process. </w:t>
      </w:r>
      <w:r w:rsidR="00CC4080" w:rsidRPr="00CC4080">
        <w:t xml:space="preserve">A maximum score of 10 points </w:t>
      </w:r>
      <w:r w:rsidR="00CC4080">
        <w:t>is</w:t>
      </w:r>
      <w:r w:rsidR="00CC4080" w:rsidRPr="00CC4080">
        <w:t xml:space="preserve"> awarded </w:t>
      </w:r>
      <w:r w:rsidR="00CC4080">
        <w:t xml:space="preserve">to those countries which completed the whole process of transposing the AMWD’s provision on statutory minimum wages. </w:t>
      </w:r>
      <w:r w:rsidR="008B3424">
        <w:t xml:space="preserve">10 points are also awarded to those countries in which a legal assessment led to the conclusion that no legal action is needed. </w:t>
      </w:r>
      <w:r w:rsidR="008B3424" w:rsidRPr="008B3424">
        <w:t xml:space="preserve">For countries in the process of </w:t>
      </w:r>
      <w:r w:rsidR="008B3424">
        <w:t>transposing</w:t>
      </w:r>
      <w:r w:rsidR="008B3424" w:rsidRPr="008B3424">
        <w:t xml:space="preserve"> the provisions on </w:t>
      </w:r>
      <w:r w:rsidR="008B3424">
        <w:t>statutory minimum wages</w:t>
      </w:r>
      <w:r w:rsidR="008B3424" w:rsidRPr="008B3424">
        <w:t>, two points are awarded for each of the following stages: (1) ‘initial discussion/debate ongoing’, (2) ‘pending draft legislation, (3) ‘parliamentary debate of the draft legislation, (4) partial transposition</w:t>
      </w:r>
      <w:r w:rsidR="00D132EB">
        <w:t>.</w:t>
      </w:r>
    </w:p>
    <w:bookmarkEnd w:id="0"/>
    <w:p w14:paraId="1563022A" w14:textId="12FCF86A" w:rsidR="002E294E" w:rsidRDefault="002E294E" w:rsidP="009F58B3">
      <w:pPr>
        <w:jc w:val="both"/>
      </w:pPr>
      <w:r w:rsidRPr="001B0F10">
        <w:rPr>
          <w:b/>
          <w:bCs/>
        </w:rPr>
        <w:t xml:space="preserve">Scores to asses </w:t>
      </w:r>
      <w:r>
        <w:rPr>
          <w:b/>
          <w:bCs/>
        </w:rPr>
        <w:t xml:space="preserve">collective bargaining </w:t>
      </w:r>
      <w:r w:rsidRPr="001B0F10">
        <w:rPr>
          <w:b/>
          <w:bCs/>
        </w:rPr>
        <w:t>systems</w:t>
      </w:r>
    </w:p>
    <w:p w14:paraId="2E323EFF" w14:textId="443B712F" w:rsidR="00F13786" w:rsidRDefault="00F13786" w:rsidP="009F58B3">
      <w:pPr>
        <w:jc w:val="both"/>
      </w:pPr>
      <w:r>
        <w:t>(</w:t>
      </w:r>
      <w:r w:rsidR="0089314C">
        <w:t>10</w:t>
      </w:r>
      <w:r>
        <w:t>) The</w:t>
      </w:r>
      <w:r w:rsidR="0079293F">
        <w:t xml:space="preserve"> </w:t>
      </w:r>
      <w:r w:rsidR="0089314C">
        <w:t>tenth</w:t>
      </w:r>
      <w:r w:rsidR="0079293F">
        <w:t xml:space="preserve"> indi</w:t>
      </w:r>
      <w:r w:rsidR="002A309B">
        <w:t xml:space="preserve">cator – </w:t>
      </w:r>
      <w:r w:rsidR="002A309B" w:rsidRPr="002E3679">
        <w:rPr>
          <w:b/>
          <w:bCs/>
          <w:i/>
          <w:iCs/>
        </w:rPr>
        <w:t>collective bargaining coverage</w:t>
      </w:r>
      <w:r w:rsidR="002E3679">
        <w:rPr>
          <w:b/>
          <w:bCs/>
          <w:i/>
          <w:iCs/>
        </w:rPr>
        <w:t xml:space="preserve"> (in percent)</w:t>
      </w:r>
      <w:r w:rsidR="002A309B">
        <w:t xml:space="preserve"> – is based on national data </w:t>
      </w:r>
      <w:r w:rsidR="002E3679">
        <w:t xml:space="preserve">available </w:t>
      </w:r>
      <w:r w:rsidR="00506F2F">
        <w:t xml:space="preserve">from the OECD-AIAS ICTWSS Database </w:t>
      </w:r>
      <w:r w:rsidR="002E3679">
        <w:t>for 2021 or the most recent year available</w:t>
      </w:r>
      <w:r w:rsidR="00440760">
        <w:t>.</w:t>
      </w:r>
      <w:r w:rsidR="00166854">
        <w:rPr>
          <w:rStyle w:val="FootnoteReference"/>
        </w:rPr>
        <w:footnoteReference w:id="4"/>
      </w:r>
      <w:r w:rsidR="003C6A45">
        <w:t xml:space="preserve"> </w:t>
      </w:r>
      <w:r w:rsidR="005767CA">
        <w:t xml:space="preserve"> </w:t>
      </w:r>
      <w:r w:rsidR="00506F2F">
        <w:t>Since</w:t>
      </w:r>
      <w:r w:rsidR="003C6A45">
        <w:t>,</w:t>
      </w:r>
      <w:r w:rsidR="00506F2F">
        <w:t xml:space="preserve"> according to Article </w:t>
      </w:r>
      <w:r w:rsidR="00AC758E">
        <w:t>4(2) of the AMWD</w:t>
      </w:r>
      <w:r w:rsidR="003C6A45">
        <w:t>,</w:t>
      </w:r>
      <w:r w:rsidR="00AC758E">
        <w:t xml:space="preserve"> every Member State with a collective bargaining coverage below 80% is obliged to establish an action plan with </w:t>
      </w:r>
      <w:r w:rsidR="003C6A45">
        <w:t xml:space="preserve">a view to </w:t>
      </w:r>
      <w:r w:rsidR="00AC758E">
        <w:t>increase bargaining coverage</w:t>
      </w:r>
      <w:r w:rsidR="0014177B">
        <w:rPr>
          <w:rStyle w:val="FootnoteReference"/>
        </w:rPr>
        <w:footnoteReference w:id="5"/>
      </w:r>
      <w:r w:rsidR="00AC758E">
        <w:t xml:space="preserve">, </w:t>
      </w:r>
      <w:r w:rsidR="00DC35D7">
        <w:t xml:space="preserve">all countries are </w:t>
      </w:r>
      <w:r w:rsidR="003C6A45" w:rsidRPr="003C6A45">
        <w:t>scored on a 20-point scale</w:t>
      </w:r>
      <w:r w:rsidR="00DC35D7">
        <w:t xml:space="preserve"> </w:t>
      </w:r>
      <w:r w:rsidR="0014177B">
        <w:t xml:space="preserve">with the full 20 points being awarded to countries with a coverage of at least 80%. </w:t>
      </w:r>
      <w:r w:rsidR="003A113E">
        <w:t xml:space="preserve">For every </w:t>
      </w:r>
      <w:r w:rsidR="00C778AE">
        <w:t>three</w:t>
      </w:r>
      <w:r w:rsidR="003A113E">
        <w:t xml:space="preserve"> percentage points below </w:t>
      </w:r>
      <w:r w:rsidR="00C778AE">
        <w:t>8</w:t>
      </w:r>
      <w:r w:rsidR="003A113E">
        <w:t xml:space="preserve">0%, one point is deducted (i.e. </w:t>
      </w:r>
      <w:r w:rsidR="00D273F6">
        <w:t>19</w:t>
      </w:r>
      <w:r w:rsidR="003A113E">
        <w:t xml:space="preserve"> points for scores between </w:t>
      </w:r>
      <w:r w:rsidR="00D273F6">
        <w:t>8</w:t>
      </w:r>
      <w:r w:rsidR="003A113E">
        <w:t>0-</w:t>
      </w:r>
      <w:r w:rsidR="00D273F6">
        <w:t>77</w:t>
      </w:r>
      <w:r w:rsidR="003A113E">
        <w:t xml:space="preserve">%, </w:t>
      </w:r>
      <w:r w:rsidR="00D273F6">
        <w:t>18</w:t>
      </w:r>
      <w:r w:rsidR="003A113E">
        <w:t xml:space="preserve"> points for scores between </w:t>
      </w:r>
      <w:r w:rsidR="00D273F6">
        <w:t>76</w:t>
      </w:r>
      <w:r w:rsidR="003A113E">
        <w:t>-</w:t>
      </w:r>
      <w:r w:rsidR="00D273F6">
        <w:t>7</w:t>
      </w:r>
      <w:r w:rsidR="00D15558">
        <w:t>4</w:t>
      </w:r>
      <w:r w:rsidR="003A113E">
        <w:t>% and so on).</w:t>
      </w:r>
    </w:p>
    <w:p w14:paraId="4B2F9BED" w14:textId="28D075E4" w:rsidR="00D15558" w:rsidRDefault="00D15558" w:rsidP="009F58B3">
      <w:pPr>
        <w:jc w:val="both"/>
      </w:pPr>
      <w:r>
        <w:t>(1</w:t>
      </w:r>
      <w:r w:rsidR="0089314C">
        <w:t>1</w:t>
      </w:r>
      <w:r>
        <w:t xml:space="preserve">) The </w:t>
      </w:r>
      <w:r w:rsidR="0089314C">
        <w:t>eleventh</w:t>
      </w:r>
      <w:r>
        <w:t xml:space="preserve"> indicator – </w:t>
      </w:r>
      <w:r w:rsidR="00AF1A3A">
        <w:rPr>
          <w:b/>
          <w:bCs/>
          <w:i/>
          <w:iCs/>
        </w:rPr>
        <w:t>i</w:t>
      </w:r>
      <w:r w:rsidR="00AF1A3A" w:rsidRPr="00AF1A3A">
        <w:rPr>
          <w:b/>
          <w:bCs/>
          <w:i/>
          <w:iCs/>
        </w:rPr>
        <w:t xml:space="preserve">nvolvement in </w:t>
      </w:r>
      <w:r w:rsidR="009F58B3">
        <w:rPr>
          <w:b/>
          <w:bCs/>
          <w:i/>
          <w:iCs/>
        </w:rPr>
        <w:t>a</w:t>
      </w:r>
      <w:r w:rsidR="00AF1A3A" w:rsidRPr="00AF1A3A">
        <w:rPr>
          <w:b/>
          <w:bCs/>
          <w:i/>
          <w:iCs/>
        </w:rPr>
        <w:t xml:space="preserve">ction </w:t>
      </w:r>
      <w:r w:rsidR="009F58B3">
        <w:rPr>
          <w:b/>
          <w:bCs/>
          <w:i/>
          <w:iCs/>
        </w:rPr>
        <w:t>p</w:t>
      </w:r>
      <w:r w:rsidR="00AF1A3A" w:rsidRPr="00AF1A3A">
        <w:rPr>
          <w:b/>
          <w:bCs/>
          <w:i/>
          <w:iCs/>
        </w:rPr>
        <w:t>lan drafting</w:t>
      </w:r>
      <w:r w:rsidR="00AF1A3A">
        <w:rPr>
          <w:b/>
          <w:bCs/>
          <w:i/>
          <w:iCs/>
        </w:rPr>
        <w:t xml:space="preserve"> </w:t>
      </w:r>
      <w:r>
        <w:t xml:space="preserve">– is scored on a dichotomous scale (yes – no), with </w:t>
      </w:r>
      <w:r w:rsidR="00AF1A3A">
        <w:t>no involvement of social partners foreseen</w:t>
      </w:r>
      <w:r>
        <w:t xml:space="preserve"> being </w:t>
      </w:r>
      <w:r w:rsidR="00227165">
        <w:t>scored</w:t>
      </w:r>
      <w:r>
        <w:t xml:space="preserve"> zero points. If </w:t>
      </w:r>
      <w:r w:rsidR="00AF1A3A">
        <w:t>such involvement is</w:t>
      </w:r>
      <w:r>
        <w:t xml:space="preserve"> foreseen, the full 5-points score is awarded.</w:t>
      </w:r>
      <w:r w:rsidR="00585122">
        <w:rPr>
          <w:rStyle w:val="FootnoteReference"/>
        </w:rPr>
        <w:footnoteReference w:id="6"/>
      </w:r>
    </w:p>
    <w:p w14:paraId="44C3CAFF" w14:textId="5C8E3885" w:rsidR="00380FDE" w:rsidRDefault="009F58B3" w:rsidP="009F58B3">
      <w:pPr>
        <w:jc w:val="both"/>
      </w:pPr>
      <w:r>
        <w:t>(1</w:t>
      </w:r>
      <w:r w:rsidR="0089314C">
        <w:t>2</w:t>
      </w:r>
      <w:r>
        <w:t xml:space="preserve">) The </w:t>
      </w:r>
      <w:r w:rsidR="00DC7726">
        <w:t xml:space="preserve">twelfth </w:t>
      </w:r>
      <w:r>
        <w:t xml:space="preserve">indicator – </w:t>
      </w:r>
      <w:r>
        <w:rPr>
          <w:b/>
          <w:bCs/>
          <w:i/>
          <w:iCs/>
        </w:rPr>
        <w:t>c</w:t>
      </w:r>
      <w:r w:rsidRPr="009F58B3">
        <w:rPr>
          <w:b/>
          <w:bCs/>
          <w:i/>
          <w:iCs/>
        </w:rPr>
        <w:t xml:space="preserve">ollective bargaining clauses in </w:t>
      </w:r>
      <w:r>
        <w:rPr>
          <w:b/>
          <w:bCs/>
          <w:i/>
          <w:iCs/>
        </w:rPr>
        <w:t>p</w:t>
      </w:r>
      <w:r w:rsidRPr="009F58B3">
        <w:rPr>
          <w:b/>
          <w:bCs/>
          <w:i/>
          <w:iCs/>
        </w:rPr>
        <w:t xml:space="preserve">ublic </w:t>
      </w:r>
      <w:r>
        <w:rPr>
          <w:b/>
          <w:bCs/>
          <w:i/>
          <w:iCs/>
        </w:rPr>
        <w:t>p</w:t>
      </w:r>
      <w:r w:rsidRPr="009F58B3">
        <w:rPr>
          <w:b/>
          <w:bCs/>
          <w:i/>
          <w:iCs/>
        </w:rPr>
        <w:t>rocurement</w:t>
      </w:r>
      <w:r>
        <w:rPr>
          <w:b/>
          <w:bCs/>
          <w:i/>
          <w:iCs/>
        </w:rPr>
        <w:t xml:space="preserve"> </w:t>
      </w:r>
      <w:r>
        <w:t xml:space="preserve">– is scored on a dichotomous scale (yes – no), with </w:t>
      </w:r>
      <w:r w:rsidR="00582B7F">
        <w:t xml:space="preserve">the absence of </w:t>
      </w:r>
      <w:r w:rsidR="00A67DCA">
        <w:t xml:space="preserve">appropriate </w:t>
      </w:r>
      <w:r w:rsidR="00582B7F">
        <w:t>measures</w:t>
      </w:r>
      <w:r w:rsidR="000B1FC9">
        <w:t xml:space="preserve"> in public </w:t>
      </w:r>
      <w:r w:rsidR="000B1FC9">
        <w:lastRenderedPageBreak/>
        <w:t>procurement</w:t>
      </w:r>
      <w:r w:rsidR="00E2595E">
        <w:t xml:space="preserve"> procedures</w:t>
      </w:r>
      <w:r w:rsidR="000B1FC9">
        <w:t xml:space="preserve"> </w:t>
      </w:r>
      <w:r>
        <w:t xml:space="preserve">being </w:t>
      </w:r>
      <w:r w:rsidR="004E4406">
        <w:t>scored</w:t>
      </w:r>
      <w:r>
        <w:t xml:space="preserve"> zero points. If such </w:t>
      </w:r>
      <w:r w:rsidR="00380FDE">
        <w:t>measures</w:t>
      </w:r>
      <w:r>
        <w:t xml:space="preserve"> </w:t>
      </w:r>
      <w:r w:rsidR="00E2595E">
        <w:t>are</w:t>
      </w:r>
      <w:r>
        <w:t xml:space="preserve"> foreseen, the full 5-points score is awarded.</w:t>
      </w:r>
      <w:r w:rsidR="008B16FB">
        <w:rPr>
          <w:rStyle w:val="FootnoteReference"/>
        </w:rPr>
        <w:footnoteReference w:id="7"/>
      </w:r>
    </w:p>
    <w:p w14:paraId="2A57E3C6" w14:textId="448148CA" w:rsidR="0041289C" w:rsidRDefault="0041289C" w:rsidP="0041289C">
      <w:pPr>
        <w:jc w:val="both"/>
      </w:pPr>
      <w:r>
        <w:t xml:space="preserve">(13) The thirteenth indicator – </w:t>
      </w:r>
      <w:r w:rsidR="00963AB5">
        <w:rPr>
          <w:b/>
          <w:bCs/>
          <w:i/>
          <w:iCs/>
        </w:rPr>
        <w:t>workers’ representatives</w:t>
      </w:r>
      <w:r>
        <w:t xml:space="preserve"> </w:t>
      </w:r>
      <w:r>
        <w:rPr>
          <w:b/>
          <w:bCs/>
          <w:i/>
          <w:iCs/>
        </w:rPr>
        <w:t>r</w:t>
      </w:r>
      <w:r w:rsidRPr="0041289C">
        <w:rPr>
          <w:b/>
          <w:bCs/>
          <w:i/>
          <w:iCs/>
        </w:rPr>
        <w:t xml:space="preserve">ight of </w:t>
      </w:r>
      <w:r>
        <w:rPr>
          <w:b/>
          <w:bCs/>
          <w:i/>
          <w:iCs/>
        </w:rPr>
        <w:t>a</w:t>
      </w:r>
      <w:r w:rsidRPr="0041289C">
        <w:rPr>
          <w:b/>
          <w:bCs/>
          <w:i/>
          <w:iCs/>
        </w:rPr>
        <w:t xml:space="preserve">ccess to </w:t>
      </w:r>
      <w:r>
        <w:rPr>
          <w:b/>
          <w:bCs/>
          <w:i/>
          <w:iCs/>
        </w:rPr>
        <w:t xml:space="preserve">a </w:t>
      </w:r>
      <w:r w:rsidRPr="0041289C">
        <w:rPr>
          <w:b/>
          <w:bCs/>
          <w:i/>
          <w:iCs/>
        </w:rPr>
        <w:t>workplace (also digitally)</w:t>
      </w:r>
      <w:r>
        <w:rPr>
          <w:b/>
          <w:bCs/>
          <w:i/>
          <w:iCs/>
        </w:rPr>
        <w:t xml:space="preserve"> </w:t>
      </w:r>
      <w:r>
        <w:t xml:space="preserve">– is scored on a dichotomous scale (yes – no), with the absence of such </w:t>
      </w:r>
      <w:r w:rsidR="006B313A">
        <w:t xml:space="preserve">a </w:t>
      </w:r>
      <w:r>
        <w:t xml:space="preserve">right of access being </w:t>
      </w:r>
      <w:r w:rsidR="004E4406">
        <w:t>scored</w:t>
      </w:r>
      <w:r>
        <w:t xml:space="preserve"> zero points. If access </w:t>
      </w:r>
      <w:r w:rsidR="00DF38AC">
        <w:t>is possible</w:t>
      </w:r>
      <w:r>
        <w:t xml:space="preserve">, the full </w:t>
      </w:r>
      <w:r w:rsidR="00CC7C2D">
        <w:t>10</w:t>
      </w:r>
      <w:r>
        <w:t>-points score is awarded.</w:t>
      </w:r>
    </w:p>
    <w:p w14:paraId="7E835657" w14:textId="3B002B0A" w:rsidR="00CC7C2D" w:rsidRDefault="00CC7C2D" w:rsidP="00CC7C2D">
      <w:pPr>
        <w:jc w:val="both"/>
      </w:pPr>
      <w:r>
        <w:t xml:space="preserve">(14) The fourteenth indicator – </w:t>
      </w:r>
      <w:r w:rsidR="00D111AE">
        <w:rPr>
          <w:b/>
          <w:bCs/>
          <w:i/>
          <w:iCs/>
        </w:rPr>
        <w:t>p</w:t>
      </w:r>
      <w:r w:rsidR="00D111AE" w:rsidRPr="00D111AE">
        <w:rPr>
          <w:b/>
          <w:bCs/>
          <w:i/>
          <w:iCs/>
        </w:rPr>
        <w:t>rotection of workers and trade union representatives against discrimination</w:t>
      </w:r>
      <w:r w:rsidR="00D111AE">
        <w:rPr>
          <w:b/>
          <w:bCs/>
          <w:i/>
          <w:iCs/>
        </w:rPr>
        <w:t xml:space="preserve"> </w:t>
      </w:r>
      <w:r>
        <w:t xml:space="preserve">– is scored on a dichotomous scale (yes – no), with the absence of such </w:t>
      </w:r>
      <w:r w:rsidR="00D111AE">
        <w:t>protections</w:t>
      </w:r>
      <w:r>
        <w:t xml:space="preserve"> being </w:t>
      </w:r>
      <w:r w:rsidR="004E4406">
        <w:t>scored</w:t>
      </w:r>
      <w:r>
        <w:t xml:space="preserve"> zero points. If </w:t>
      </w:r>
      <w:r w:rsidR="004E4406">
        <w:t>anti-discrimination legislation is in place</w:t>
      </w:r>
      <w:r>
        <w:t xml:space="preserve">, the full </w:t>
      </w:r>
      <w:r w:rsidR="004E4406">
        <w:t>5</w:t>
      </w:r>
      <w:r>
        <w:t>-points score is awarded.</w:t>
      </w:r>
    </w:p>
    <w:p w14:paraId="19B6330B" w14:textId="09CB480B" w:rsidR="00F35BED" w:rsidRDefault="00F35BED" w:rsidP="00CC7C2D">
      <w:pPr>
        <w:jc w:val="both"/>
      </w:pPr>
      <w:r>
        <w:t xml:space="preserve">(15) Finally, </w:t>
      </w:r>
      <w:r w:rsidR="00D132EB" w:rsidRPr="003A7239">
        <w:rPr>
          <w:b/>
          <w:bCs/>
        </w:rPr>
        <w:t>the legislative implementation progress</w:t>
      </w:r>
      <w:r w:rsidR="00D132EB" w:rsidRPr="00D132EB">
        <w:t xml:space="preserve"> of Member States o</w:t>
      </w:r>
      <w:r w:rsidR="00E405B2">
        <w:t>f the AMWD’s provisions on collective bargaining</w:t>
      </w:r>
      <w:r w:rsidR="00D132EB" w:rsidRPr="00D132EB">
        <w:t xml:space="preserve"> (15</w:t>
      </w:r>
      <w:r w:rsidR="00E405B2">
        <w:t>b</w:t>
      </w:r>
      <w:r w:rsidR="00D132EB" w:rsidRPr="00D132EB">
        <w:t>)</w:t>
      </w:r>
      <w:r w:rsidR="00E405B2">
        <w:t xml:space="preserve">. </w:t>
      </w:r>
      <w:r w:rsidR="00D132EB" w:rsidRPr="00D132EB">
        <w:t xml:space="preserve">The scoring of the transposition process is divided into five different stages of the transposition process. A maximum score of 10 points is awarded to those countries which completed the whole process of transposing the AMWD’s provision on </w:t>
      </w:r>
      <w:r w:rsidR="00E405B2">
        <w:t>collective bargaining</w:t>
      </w:r>
      <w:r w:rsidR="00D132EB" w:rsidRPr="00D132EB">
        <w:t xml:space="preserve">. 10 points are also awarded to those countries in which a legal assessment led to the conclusion that no legal action is needed. For countries in the process of transposing the provisions on </w:t>
      </w:r>
      <w:r w:rsidR="00D40332">
        <w:t>collective bargaining</w:t>
      </w:r>
      <w:r w:rsidR="00D132EB" w:rsidRPr="00D132EB">
        <w:t>, two points are awarded for each of the following stages: (1) ‘initial discussion/debate ongoing’, (2) ‘pending draft legislation, (3) ‘parliamentary debate of the draft legislation, (4) partial transposition.</w:t>
      </w:r>
      <w:r w:rsidR="00D00A9A">
        <w:t xml:space="preserve"> </w:t>
      </w:r>
    </w:p>
    <w:p w14:paraId="0C436B5D" w14:textId="373F7FFD" w:rsidR="00B23CA6" w:rsidRPr="002F02CF" w:rsidRDefault="00B23CA6" w:rsidP="00CC7C2D">
      <w:pPr>
        <w:jc w:val="both"/>
      </w:pPr>
      <w:r w:rsidRPr="002F02CF">
        <w:t xml:space="preserve">(16) In addition, </w:t>
      </w:r>
      <w:r w:rsidR="002F02CF" w:rsidRPr="002F02CF">
        <w:t xml:space="preserve">a </w:t>
      </w:r>
      <w:r w:rsidR="002F02CF" w:rsidRPr="00AA3FC7">
        <w:rPr>
          <w:b/>
          <w:bCs/>
          <w:i/>
          <w:iCs/>
        </w:rPr>
        <w:t>qualitative asses</w:t>
      </w:r>
      <w:r w:rsidR="009C1A6A" w:rsidRPr="00AA3FC7">
        <w:rPr>
          <w:b/>
          <w:bCs/>
          <w:i/>
          <w:iCs/>
        </w:rPr>
        <w:t>s</w:t>
      </w:r>
      <w:r w:rsidR="002F02CF" w:rsidRPr="00AA3FC7">
        <w:rPr>
          <w:b/>
          <w:bCs/>
          <w:i/>
          <w:iCs/>
        </w:rPr>
        <w:t xml:space="preserve">ment </w:t>
      </w:r>
      <w:r w:rsidR="00AA3FC7" w:rsidRPr="00AA3FC7">
        <w:rPr>
          <w:b/>
          <w:bCs/>
          <w:i/>
          <w:iCs/>
        </w:rPr>
        <w:t>of</w:t>
      </w:r>
      <w:r w:rsidR="009C1A6A" w:rsidRPr="00AA3FC7">
        <w:rPr>
          <w:b/>
          <w:bCs/>
          <w:i/>
          <w:iCs/>
        </w:rPr>
        <w:t xml:space="preserve"> the overall development</w:t>
      </w:r>
      <w:r w:rsidR="009C1A6A">
        <w:t xml:space="preserve"> </w:t>
      </w:r>
      <w:r w:rsidR="00AA3FC7">
        <w:t xml:space="preserve">is made </w:t>
      </w:r>
      <w:r w:rsidR="009C1A6A">
        <w:t xml:space="preserve">of each Member State on both minimum wage and collective bargaining. </w:t>
      </w:r>
      <w:r w:rsidR="00676818">
        <w:t>A maximum of 10</w:t>
      </w:r>
      <w:r w:rsidR="009C1A6A">
        <w:t xml:space="preserve"> points are </w:t>
      </w:r>
      <w:r w:rsidR="00676818">
        <w:t xml:space="preserve">awarded for positive developments in each of the two areas to account for progress being made by the countries even though </w:t>
      </w:r>
      <w:r w:rsidR="00F5601B">
        <w:t>an attainment of the target values has not yet been reached. This reflect</w:t>
      </w:r>
      <w:r w:rsidR="00D40332">
        <w:t>s</w:t>
      </w:r>
      <w:r w:rsidR="00F5601B">
        <w:t xml:space="preserve"> </w:t>
      </w:r>
      <w:r w:rsidR="00D43510">
        <w:t xml:space="preserve">whether </w:t>
      </w:r>
      <w:r w:rsidR="00F5601B">
        <w:t>the goal</w:t>
      </w:r>
      <w:r w:rsidR="00D43510">
        <w:t>s and spirit</w:t>
      </w:r>
      <w:r w:rsidR="00F5601B">
        <w:t xml:space="preserve"> of the AMWD </w:t>
      </w:r>
      <w:r w:rsidR="00D43510">
        <w:t>to ensure  adequate</w:t>
      </w:r>
      <w:r w:rsidR="00AA3FC7">
        <w:t xml:space="preserve"> minimum wages and </w:t>
      </w:r>
      <w:r w:rsidR="00D43510">
        <w:t xml:space="preserve">strong </w:t>
      </w:r>
      <w:r w:rsidR="00AA3FC7">
        <w:t xml:space="preserve">collective bargaining </w:t>
      </w:r>
      <w:r w:rsidR="00D43510">
        <w:t>has been taken into account</w:t>
      </w:r>
      <w:r w:rsidR="00FA7407">
        <w:t xml:space="preserve"> in the overall transposition process</w:t>
      </w:r>
      <w:r w:rsidR="00AA3FC7">
        <w:t>.</w:t>
      </w:r>
    </w:p>
    <w:p w14:paraId="5AC04B6F" w14:textId="77777777" w:rsidR="00CD34E4" w:rsidRPr="002F02CF" w:rsidRDefault="00CD34E4" w:rsidP="009F58B3">
      <w:pPr>
        <w:jc w:val="both"/>
      </w:pPr>
    </w:p>
    <w:sectPr w:rsidR="00CD34E4" w:rsidRPr="002F02CF" w:rsidSect="00D31679">
      <w:headerReference w:type="default" r:id="rId9"/>
      <w:footerReference w:type="default" r:id="rId10"/>
      <w:pgSz w:w="11906" w:h="16838"/>
      <w:pgMar w:top="1560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2C135" w14:textId="77777777" w:rsidR="007B034B" w:rsidRDefault="007B034B" w:rsidP="00977958">
      <w:pPr>
        <w:spacing w:after="0" w:line="240" w:lineRule="auto"/>
      </w:pPr>
      <w:r>
        <w:separator/>
      </w:r>
    </w:p>
  </w:endnote>
  <w:endnote w:type="continuationSeparator" w:id="0">
    <w:p w14:paraId="1FCE428B" w14:textId="77777777" w:rsidR="007B034B" w:rsidRDefault="007B034B" w:rsidP="0097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41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364CF" w14:textId="177AFF39" w:rsidR="00AA3FC7" w:rsidRDefault="00AA3F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831212" w14:textId="41B4D175" w:rsidR="00AA3FC7" w:rsidRDefault="00AA3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236CF" w14:textId="77777777" w:rsidR="007B034B" w:rsidRDefault="007B034B" w:rsidP="00977958">
      <w:pPr>
        <w:spacing w:after="0" w:line="240" w:lineRule="auto"/>
      </w:pPr>
      <w:r>
        <w:separator/>
      </w:r>
    </w:p>
  </w:footnote>
  <w:footnote w:type="continuationSeparator" w:id="0">
    <w:p w14:paraId="262033A7" w14:textId="77777777" w:rsidR="007B034B" w:rsidRDefault="007B034B" w:rsidP="00977958">
      <w:pPr>
        <w:spacing w:after="0" w:line="240" w:lineRule="auto"/>
      </w:pPr>
      <w:r>
        <w:continuationSeparator/>
      </w:r>
    </w:p>
  </w:footnote>
  <w:footnote w:id="1">
    <w:p w14:paraId="74BB8D5E" w14:textId="77777777" w:rsidR="00D306DE" w:rsidRDefault="00D306DE" w:rsidP="00D306DE">
      <w:pPr>
        <w:pStyle w:val="FootnoteText"/>
      </w:pPr>
      <w:r>
        <w:rPr>
          <w:rStyle w:val="FootnoteReference"/>
        </w:rPr>
        <w:footnoteRef/>
      </w:r>
      <w:r>
        <w:t xml:space="preserve"> Directive (EU) 2022/2041 of 19 October 2022 on adequate minimum wages in the European Union, OJ L 275/33 (2022).</w:t>
      </w:r>
    </w:p>
  </w:footnote>
  <w:footnote w:id="2">
    <w:p w14:paraId="57251BE1" w14:textId="506F151F" w:rsidR="00E04F48" w:rsidRDefault="00E04F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75869" w:rsidRPr="00C75869">
        <w:t>https://www.oecd-ilibrary.org/employment/data/earnings/minimum-wages-relative-to-median-wages_data-00313-en?parent=http%3A%2F%2Finstance.metastore.ingenta.com%2Fcontent%2Fcollection%2Flfs-data-en</w:t>
      </w:r>
    </w:p>
  </w:footnote>
  <w:footnote w:id="3">
    <w:p w14:paraId="3B1FF516" w14:textId="4A635B28" w:rsidR="008355AD" w:rsidRPr="008355AD" w:rsidRDefault="008355AD">
      <w:pPr>
        <w:pStyle w:val="FootnoteText"/>
      </w:pPr>
      <w:r>
        <w:rPr>
          <w:rStyle w:val="FootnoteReference"/>
        </w:rPr>
        <w:footnoteRef/>
      </w:r>
      <w:r>
        <w:t xml:space="preserve"> Recital 28 and article 5(4) of </w:t>
      </w:r>
      <w:r w:rsidR="009B6948">
        <w:t xml:space="preserve">the </w:t>
      </w:r>
      <w:r w:rsidR="00F17B0C">
        <w:t xml:space="preserve">AMW </w:t>
      </w:r>
      <w:r>
        <w:t>Directive.</w:t>
      </w:r>
    </w:p>
  </w:footnote>
  <w:footnote w:id="4">
    <w:p w14:paraId="40D74608" w14:textId="67C5FE9A" w:rsidR="00166854" w:rsidRPr="00B70832" w:rsidRDefault="00166854">
      <w:pPr>
        <w:pStyle w:val="FootnoteText"/>
      </w:pPr>
      <w:r>
        <w:rPr>
          <w:rStyle w:val="FootnoteReference"/>
        </w:rPr>
        <w:footnoteRef/>
      </w:r>
      <w:r w:rsidRPr="00B70832">
        <w:t xml:space="preserve"> </w:t>
      </w:r>
      <w:r w:rsidR="00C21197" w:rsidRPr="00B70832">
        <w:t xml:space="preserve">OECD-AIAS ICTWSS Database, </w:t>
      </w:r>
      <w:hyperlink r:id="rId1" w:history="1">
        <w:r w:rsidR="002B2A8D" w:rsidRPr="00B70832">
          <w:rPr>
            <w:rStyle w:val="Hyperlink"/>
          </w:rPr>
          <w:t>https://www.oecd.org/en/data/datasets/oecdaias-ictwss-database.html</w:t>
        </w:r>
      </w:hyperlink>
      <w:r w:rsidR="002B2A8D" w:rsidRPr="00B70832">
        <w:t xml:space="preserve"> (</w:t>
      </w:r>
      <w:r w:rsidR="00B70832">
        <w:t>2024</w:t>
      </w:r>
      <w:r w:rsidR="002B2A8D" w:rsidRPr="00B70832">
        <w:t>)</w:t>
      </w:r>
      <w:r w:rsidR="00B70832">
        <w:t>.</w:t>
      </w:r>
    </w:p>
  </w:footnote>
  <w:footnote w:id="5">
    <w:p w14:paraId="7A77046F" w14:textId="0E193E3A" w:rsidR="0014177B" w:rsidRPr="008355AD" w:rsidRDefault="0014177B" w:rsidP="001417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B75E9">
        <w:t>See also r</w:t>
      </w:r>
      <w:r>
        <w:t>ecital 25</w:t>
      </w:r>
      <w:r w:rsidR="00CB75E9">
        <w:t xml:space="preserve"> of the AMWD</w:t>
      </w:r>
      <w:r>
        <w:t>.</w:t>
      </w:r>
    </w:p>
  </w:footnote>
  <w:footnote w:id="6">
    <w:p w14:paraId="546D6EE4" w14:textId="4D329E35" w:rsidR="00585122" w:rsidRPr="00585122" w:rsidRDefault="00585122">
      <w:pPr>
        <w:pStyle w:val="FootnoteText"/>
      </w:pPr>
      <w:r>
        <w:rPr>
          <w:rStyle w:val="FootnoteReference"/>
        </w:rPr>
        <w:footnoteRef/>
      </w:r>
      <w:r>
        <w:t xml:space="preserve"> Cf. article 4(2) of the AMW Directive.</w:t>
      </w:r>
    </w:p>
  </w:footnote>
  <w:footnote w:id="7">
    <w:p w14:paraId="69E01B3C" w14:textId="2E426FCA" w:rsidR="008B16FB" w:rsidRPr="008B16FB" w:rsidRDefault="008B16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16FB">
        <w:t xml:space="preserve">Cf. </w:t>
      </w:r>
      <w:r>
        <w:t>article 9 of the AMW Directive.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9AD8" w14:textId="3E179ECF" w:rsidR="00E301B0" w:rsidRDefault="00D31679">
    <w:pPr>
      <w:pStyle w:val="Header"/>
    </w:pPr>
    <w:r w:rsidRPr="00D31679">
      <w:drawing>
        <wp:anchor distT="0" distB="0" distL="114300" distR="114300" simplePos="0" relativeHeight="251658240" behindDoc="0" locked="0" layoutInCell="1" allowOverlap="1" wp14:anchorId="22881220" wp14:editId="172E7A7D">
          <wp:simplePos x="0" y="0"/>
          <wp:positionH relativeFrom="column">
            <wp:posOffset>5007418</wp:posOffset>
          </wp:positionH>
          <wp:positionV relativeFrom="paragraph">
            <wp:posOffset>-242451</wp:posOffset>
          </wp:positionV>
          <wp:extent cx="1227515" cy="638355"/>
          <wp:effectExtent l="0" t="0" r="0" b="9525"/>
          <wp:wrapNone/>
          <wp:docPr id="1030068496" name="Image 3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C5458BE-D426-4255-864C-16417E3B440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3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3C5458BE-D426-4255-864C-16417E3B440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515" cy="63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0BB" w:rsidRPr="005C50BB">
      <w:drawing>
        <wp:inline distT="0" distB="0" distL="0" distR="0" wp14:anchorId="10E6DA94" wp14:editId="0577165B">
          <wp:extent cx="1505160" cy="285790"/>
          <wp:effectExtent l="0" t="0" r="0" b="0"/>
          <wp:docPr id="17170778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74117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5160" cy="28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14"/>
    <w:rsid w:val="00013208"/>
    <w:rsid w:val="00033632"/>
    <w:rsid w:val="00036415"/>
    <w:rsid w:val="000441EA"/>
    <w:rsid w:val="00062DD1"/>
    <w:rsid w:val="000903EA"/>
    <w:rsid w:val="000904FF"/>
    <w:rsid w:val="00090568"/>
    <w:rsid w:val="000A17F2"/>
    <w:rsid w:val="000B1FC9"/>
    <w:rsid w:val="000C24F0"/>
    <w:rsid w:val="000D5D28"/>
    <w:rsid w:val="00100188"/>
    <w:rsid w:val="00113CB1"/>
    <w:rsid w:val="00132CB4"/>
    <w:rsid w:val="00136B87"/>
    <w:rsid w:val="00136D74"/>
    <w:rsid w:val="0014177B"/>
    <w:rsid w:val="00145B82"/>
    <w:rsid w:val="00156097"/>
    <w:rsid w:val="00166854"/>
    <w:rsid w:val="00166B07"/>
    <w:rsid w:val="00197BB7"/>
    <w:rsid w:val="001A63D1"/>
    <w:rsid w:val="001B6EAD"/>
    <w:rsid w:val="001C6567"/>
    <w:rsid w:val="001D0100"/>
    <w:rsid w:val="001D6AC4"/>
    <w:rsid w:val="0021675A"/>
    <w:rsid w:val="002175C6"/>
    <w:rsid w:val="00223362"/>
    <w:rsid w:val="00227165"/>
    <w:rsid w:val="002943D9"/>
    <w:rsid w:val="002A309B"/>
    <w:rsid w:val="002B2A8D"/>
    <w:rsid w:val="002C154D"/>
    <w:rsid w:val="002C16F1"/>
    <w:rsid w:val="002C5FC1"/>
    <w:rsid w:val="002C7599"/>
    <w:rsid w:val="002D48B9"/>
    <w:rsid w:val="002D4BB5"/>
    <w:rsid w:val="002D7B06"/>
    <w:rsid w:val="002E294E"/>
    <w:rsid w:val="002E3679"/>
    <w:rsid w:val="002F02CF"/>
    <w:rsid w:val="002F3C3E"/>
    <w:rsid w:val="003044AA"/>
    <w:rsid w:val="00315E98"/>
    <w:rsid w:val="00335B23"/>
    <w:rsid w:val="00380299"/>
    <w:rsid w:val="00380FDE"/>
    <w:rsid w:val="00382A9C"/>
    <w:rsid w:val="00393723"/>
    <w:rsid w:val="003957F8"/>
    <w:rsid w:val="003A113E"/>
    <w:rsid w:val="003A7239"/>
    <w:rsid w:val="003C379D"/>
    <w:rsid w:val="003C6A45"/>
    <w:rsid w:val="003C731B"/>
    <w:rsid w:val="00402750"/>
    <w:rsid w:val="0041289C"/>
    <w:rsid w:val="00425CA5"/>
    <w:rsid w:val="0043082B"/>
    <w:rsid w:val="00437520"/>
    <w:rsid w:val="00440760"/>
    <w:rsid w:val="004528FF"/>
    <w:rsid w:val="00472198"/>
    <w:rsid w:val="004775DF"/>
    <w:rsid w:val="004919D2"/>
    <w:rsid w:val="004D649E"/>
    <w:rsid w:val="004E4406"/>
    <w:rsid w:val="004F776C"/>
    <w:rsid w:val="00506F2F"/>
    <w:rsid w:val="00527BB0"/>
    <w:rsid w:val="00534EBE"/>
    <w:rsid w:val="00536C86"/>
    <w:rsid w:val="005435D9"/>
    <w:rsid w:val="00551EA7"/>
    <w:rsid w:val="0056059A"/>
    <w:rsid w:val="00573B47"/>
    <w:rsid w:val="005767CA"/>
    <w:rsid w:val="00580101"/>
    <w:rsid w:val="00582B7F"/>
    <w:rsid w:val="00585122"/>
    <w:rsid w:val="0058773E"/>
    <w:rsid w:val="0059416B"/>
    <w:rsid w:val="005B12FE"/>
    <w:rsid w:val="005C5000"/>
    <w:rsid w:val="005C50BB"/>
    <w:rsid w:val="005D181B"/>
    <w:rsid w:val="005D5BF6"/>
    <w:rsid w:val="005F5585"/>
    <w:rsid w:val="00632FC3"/>
    <w:rsid w:val="00640616"/>
    <w:rsid w:val="006556BF"/>
    <w:rsid w:val="00672483"/>
    <w:rsid w:val="00676818"/>
    <w:rsid w:val="0068121E"/>
    <w:rsid w:val="00693A4B"/>
    <w:rsid w:val="006B313A"/>
    <w:rsid w:val="006B7F38"/>
    <w:rsid w:val="006C2DA8"/>
    <w:rsid w:val="006C5D83"/>
    <w:rsid w:val="006E4617"/>
    <w:rsid w:val="006F0C3D"/>
    <w:rsid w:val="006F2BBE"/>
    <w:rsid w:val="00702EBA"/>
    <w:rsid w:val="00707C82"/>
    <w:rsid w:val="0071106A"/>
    <w:rsid w:val="00712BCF"/>
    <w:rsid w:val="007147D2"/>
    <w:rsid w:val="00715C64"/>
    <w:rsid w:val="00720637"/>
    <w:rsid w:val="00720A5C"/>
    <w:rsid w:val="007359B9"/>
    <w:rsid w:val="00746EC1"/>
    <w:rsid w:val="00757CFE"/>
    <w:rsid w:val="00767457"/>
    <w:rsid w:val="00775875"/>
    <w:rsid w:val="00775DEB"/>
    <w:rsid w:val="00782B3E"/>
    <w:rsid w:val="00786874"/>
    <w:rsid w:val="0079293F"/>
    <w:rsid w:val="00794721"/>
    <w:rsid w:val="007A0AEF"/>
    <w:rsid w:val="007B034B"/>
    <w:rsid w:val="007B46C7"/>
    <w:rsid w:val="007B6FC5"/>
    <w:rsid w:val="007D38C8"/>
    <w:rsid w:val="007E4CF1"/>
    <w:rsid w:val="00815A31"/>
    <w:rsid w:val="00834CC5"/>
    <w:rsid w:val="008355AD"/>
    <w:rsid w:val="00835A34"/>
    <w:rsid w:val="00840F60"/>
    <w:rsid w:val="0089314C"/>
    <w:rsid w:val="008B16FB"/>
    <w:rsid w:val="008B3424"/>
    <w:rsid w:val="008E2B8A"/>
    <w:rsid w:val="008E35FB"/>
    <w:rsid w:val="008E6D8F"/>
    <w:rsid w:val="008F31B8"/>
    <w:rsid w:val="009018A6"/>
    <w:rsid w:val="009167C3"/>
    <w:rsid w:val="0092121C"/>
    <w:rsid w:val="00923B20"/>
    <w:rsid w:val="00942F65"/>
    <w:rsid w:val="00951E8F"/>
    <w:rsid w:val="00963AB5"/>
    <w:rsid w:val="00966B7B"/>
    <w:rsid w:val="00974E9B"/>
    <w:rsid w:val="00977958"/>
    <w:rsid w:val="009B6948"/>
    <w:rsid w:val="009C1A6A"/>
    <w:rsid w:val="009D1763"/>
    <w:rsid w:val="009F58B3"/>
    <w:rsid w:val="00A03C59"/>
    <w:rsid w:val="00A13314"/>
    <w:rsid w:val="00A33506"/>
    <w:rsid w:val="00A47439"/>
    <w:rsid w:val="00A47D3E"/>
    <w:rsid w:val="00A62891"/>
    <w:rsid w:val="00A63E49"/>
    <w:rsid w:val="00A67DCA"/>
    <w:rsid w:val="00A707AC"/>
    <w:rsid w:val="00A70D3B"/>
    <w:rsid w:val="00A72C75"/>
    <w:rsid w:val="00A8389A"/>
    <w:rsid w:val="00A851C3"/>
    <w:rsid w:val="00AA21C4"/>
    <w:rsid w:val="00AA3F47"/>
    <w:rsid w:val="00AA3FC7"/>
    <w:rsid w:val="00AB1AD6"/>
    <w:rsid w:val="00AC758E"/>
    <w:rsid w:val="00AC77C6"/>
    <w:rsid w:val="00AD4CB4"/>
    <w:rsid w:val="00AE2933"/>
    <w:rsid w:val="00AF1A3A"/>
    <w:rsid w:val="00AF1EF8"/>
    <w:rsid w:val="00AF1F60"/>
    <w:rsid w:val="00B15A39"/>
    <w:rsid w:val="00B230F2"/>
    <w:rsid w:val="00B23CA6"/>
    <w:rsid w:val="00B25FFA"/>
    <w:rsid w:val="00B4742B"/>
    <w:rsid w:val="00B70832"/>
    <w:rsid w:val="00BA7425"/>
    <w:rsid w:val="00BC0CE6"/>
    <w:rsid w:val="00BC19F0"/>
    <w:rsid w:val="00BC3732"/>
    <w:rsid w:val="00BD272A"/>
    <w:rsid w:val="00BD28F7"/>
    <w:rsid w:val="00BE02A7"/>
    <w:rsid w:val="00BE142C"/>
    <w:rsid w:val="00BE5AF1"/>
    <w:rsid w:val="00C21197"/>
    <w:rsid w:val="00C43A23"/>
    <w:rsid w:val="00C507A3"/>
    <w:rsid w:val="00C568FA"/>
    <w:rsid w:val="00C57502"/>
    <w:rsid w:val="00C75869"/>
    <w:rsid w:val="00C778AE"/>
    <w:rsid w:val="00CB2B42"/>
    <w:rsid w:val="00CB75E9"/>
    <w:rsid w:val="00CC4080"/>
    <w:rsid w:val="00CC5B33"/>
    <w:rsid w:val="00CC7C2D"/>
    <w:rsid w:val="00CD34E4"/>
    <w:rsid w:val="00CD491F"/>
    <w:rsid w:val="00CE7C1C"/>
    <w:rsid w:val="00CF05BA"/>
    <w:rsid w:val="00CF3B00"/>
    <w:rsid w:val="00D00A9A"/>
    <w:rsid w:val="00D111AE"/>
    <w:rsid w:val="00D132EB"/>
    <w:rsid w:val="00D15558"/>
    <w:rsid w:val="00D2564D"/>
    <w:rsid w:val="00D273F6"/>
    <w:rsid w:val="00D306DE"/>
    <w:rsid w:val="00D31679"/>
    <w:rsid w:val="00D40332"/>
    <w:rsid w:val="00D43510"/>
    <w:rsid w:val="00D51C23"/>
    <w:rsid w:val="00DC35D7"/>
    <w:rsid w:val="00DC7726"/>
    <w:rsid w:val="00DF115C"/>
    <w:rsid w:val="00DF38AC"/>
    <w:rsid w:val="00E04F48"/>
    <w:rsid w:val="00E15FCD"/>
    <w:rsid w:val="00E2595E"/>
    <w:rsid w:val="00E301B0"/>
    <w:rsid w:val="00E3599B"/>
    <w:rsid w:val="00E405B2"/>
    <w:rsid w:val="00E40744"/>
    <w:rsid w:val="00E427B8"/>
    <w:rsid w:val="00E45861"/>
    <w:rsid w:val="00E74A1B"/>
    <w:rsid w:val="00E80D77"/>
    <w:rsid w:val="00E818C0"/>
    <w:rsid w:val="00EC02F6"/>
    <w:rsid w:val="00EE3549"/>
    <w:rsid w:val="00EF1A77"/>
    <w:rsid w:val="00F053E6"/>
    <w:rsid w:val="00F13786"/>
    <w:rsid w:val="00F17B0C"/>
    <w:rsid w:val="00F302A6"/>
    <w:rsid w:val="00F329C3"/>
    <w:rsid w:val="00F35BED"/>
    <w:rsid w:val="00F5601B"/>
    <w:rsid w:val="00F722AB"/>
    <w:rsid w:val="00F835C8"/>
    <w:rsid w:val="00F97E64"/>
    <w:rsid w:val="00FA7407"/>
    <w:rsid w:val="00FB1128"/>
    <w:rsid w:val="00FC0775"/>
    <w:rsid w:val="00FC1AB7"/>
    <w:rsid w:val="00FD7EA9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1FC745"/>
  <w15:chartTrackingRefBased/>
  <w15:docId w15:val="{00E23E35-80FF-41AB-849E-4D139662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31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9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9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79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E3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5F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C7"/>
  </w:style>
  <w:style w:type="paragraph" w:styleId="Footer">
    <w:name w:val="footer"/>
    <w:basedOn w:val="Normal"/>
    <w:link w:val="FooterChar"/>
    <w:uiPriority w:val="99"/>
    <w:unhideWhenUsed/>
    <w:rsid w:val="00AA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C7"/>
  </w:style>
  <w:style w:type="paragraph" w:styleId="Revision">
    <w:name w:val="Revision"/>
    <w:hidden/>
    <w:uiPriority w:val="99"/>
    <w:semiHidden/>
    <w:rsid w:val="00D306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11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ecd.org/en/data/datasets/oecdaias-ictwss-database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AD5C-C0B2-451A-87CC-F436D4B2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Marcus</dc:creator>
  <cp:keywords/>
  <dc:description/>
  <cp:lastModifiedBy>Casale, Giovanni</cp:lastModifiedBy>
  <cp:revision>23</cp:revision>
  <dcterms:created xsi:type="dcterms:W3CDTF">2024-09-19T13:04:00Z</dcterms:created>
  <dcterms:modified xsi:type="dcterms:W3CDTF">2024-12-03T13:20:00Z</dcterms:modified>
</cp:coreProperties>
</file>